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</w:pPr>
      <w:r>
        <w:rPr>
          <w:b/>
          <w:i w:val="0"/>
          <w:color w:val="237A8B"/>
          <w:sz w:val="18"/>
          <w:spacing w:val="30"/>
        </w:rPr>
        <w:t>INDEPENDENT GUIDANCE FOR LAW FIRMS</w:t>
      </w:r>
    </w:p>
    <w:p>
      <w:pPr>
        <w:spacing w:after="120"/>
      </w:pPr>
      <w:r>
        <w:rPr>
          <w:b/>
          <w:i w:val="0"/>
          <w:color w:val="0B2545"/>
          <w:sz w:val="48"/>
        </w:rPr>
        <w:t>One month to go-live: countdown checklist</w:t>
      </w:r>
    </w:p>
    <w:p>
      <w:pPr>
        <w:spacing w:after="200"/>
      </w:pPr>
      <w:r>
        <w:rPr>
          <w:b w:val="0"/>
          <w:i w:val="0"/>
          <w:color w:val="3B4452"/>
          <w:sz w:val="21"/>
        </w:rPr>
        <w:t>A week-by-week checklist for the last month before a new practice management system goes live, and the first weeks after. One month out, the build should be finished: the final month is for training people on the system they will use on day one, with changes kept to a minimum. Lead shows who usually drives each item; the firm signs off everything. Adapt it to your project.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80" w:type="dxa"/>
          <w:bottom w:w="80" w:type="dxa"/>
          <w:left w:w="120" w:type="dxa"/>
          <w:right w:w="120" w:type="dxa"/>
        </w:tblCellMar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PROJECT</w:t>
            </w:r>
          </w:p>
        </w:tc>
        <w:tc>
          <w:tcPr>
            <w:tcW w:type="dxa" w:w="3289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GO-LIVE DATE</w:t>
            </w:r>
          </w:p>
        </w:tc>
        <w:tc>
          <w:tcPr>
            <w:tcW w:type="dxa" w:w="3289"/>
            <w:shd w:val="clear" w:color="auto" w:fill="F4F7F9"/>
          </w:tcPr>
          <w:p>
            <w:r>
              <w:rPr>
                <w:b/>
                <w:i w:val="0"/>
                <w:color w:val="237A8B"/>
                <w:sz w:val="16"/>
                <w:spacing w:val="20"/>
              </w:rPr>
              <w:t>CHECKLIST OWNER</w:t>
            </w:r>
          </w:p>
        </w:tc>
      </w:tr>
      <w:tr>
        <w:tc>
          <w:tcPr>
            <w:tcW w:type="dxa" w:w="3289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289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289"/>
            <w:shd w:val="clear" w:color="auto" w:fill="F4F7F9"/>
          </w:tcPr>
          <w:p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before="80" w:after="40"/>
      </w:pPr>
      <w:r>
        <w:rPr>
          <w:b/>
          <w:i w:val="0"/>
          <w:color w:val="0B2545"/>
          <w:sz w:val="17"/>
        </w:rPr>
        <w:t xml:space="preserve">Lead:  </w:t>
      </w:r>
      <w:r>
        <w:rPr>
          <w:b/>
          <w:i w:val="0"/>
          <w:color w:val="0B2545"/>
          <w:sz w:val="17"/>
        </w:rPr>
        <w:t>Firm</w:t>
      </w:r>
      <w:r>
        <w:rPr>
          <w:b w:val="0"/>
          <w:i w:val="0"/>
          <w:color w:val="5F7A8C"/>
          <w:sz w:val="17"/>
        </w:rPr>
        <w:t xml:space="preserve">  ·  </w:t>
      </w:r>
      <w:r>
        <w:rPr>
          <w:b/>
          <w:i w:val="0"/>
          <w:color w:val="5F7A8C"/>
          <w:sz w:val="17"/>
        </w:rPr>
        <w:t>Vendor</w:t>
      </w:r>
      <w:r>
        <w:rPr>
          <w:b w:val="0"/>
          <w:i w:val="0"/>
          <w:color w:val="5F7A8C"/>
          <w:sz w:val="17"/>
        </w:rPr>
        <w:t xml:space="preserve">  ·  </w:t>
      </w:r>
      <w:r>
        <w:rPr>
          <w:b/>
          <w:i w:val="0"/>
          <w:color w:val="237A8B"/>
          <w:sz w:val="17"/>
        </w:rPr>
        <w:t>Both</w:t>
      </w:r>
      <w:r>
        <w:rPr>
          <w:b w:val="0"/>
          <w:i/>
          <w:color w:val="5F7A8C"/>
          <w:sz w:val="17"/>
        </w:rPr>
        <w:t xml:space="preserve">   (who usually drives each item; the firm signs off everything)</w:t>
      </w:r>
    </w:p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COUNTDOWN  ·  WEEK 4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Four weeks out: the readiness checkpoint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If several of these are not done, decide now whether to move the date.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62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Done</w:t>
            </w:r>
          </w:p>
        </w:tc>
        <w:tc>
          <w:tcPr>
            <w:tcW w:type="dxa" w:w="5669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Lead</w:t>
            </w:r>
          </w:p>
        </w:tc>
        <w:tc>
          <w:tcPr>
            <w:tcW w:type="dxa" w:w="153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13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Due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User acceptance testing complete and signed off; every defect fixed and retested, or accepted in writing with a workaround and a date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Trial migrations complete; accounts reconciled matter by matter against reports from the old system and signed off by the COFA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Custom data, key dates and documents checked by the people who own the matters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Every case type and workflow tested end to end, on new matters and on migrated matters part way through a process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Precedents generate correctly from migrated data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Client and matter inception tested as one process: enquiry, conflict search, ID and AML checks, engagement letter, matter risk assessment, opening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Configuration reviewed against the risk register and policies by the COLP and COFA: client account controls, key dates, supervision and file reviews, permissions and ethical walls, audit trail, breach register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Integrations tested with real scenarios: accounts package, email and Outlook, e-signature, searches, payments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Key reports validated by partners, the accounts team and compliance officers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Users set up with the right roles, multi-factor authentication on, no accounts for leavers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Cut-over plan written: timetable, named people on both sides, fallback if it goes wrong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Vendor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Written go or no-go criteria agreed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Date for the old system’s final data extract confirmed with the outgoing supplier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Change freeze starts: defect fixes only, every other request goes on the after go-live list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COUNTDOWN  ·  WEEKS 3 AND 2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Weeks three and two: training and rehearsal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Train on the live configuration, not a demonstration system.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62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Done</w:t>
            </w:r>
          </w:p>
        </w:tc>
        <w:tc>
          <w:tcPr>
            <w:tcW w:type="dxa" w:w="5669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Lead</w:t>
            </w:r>
          </w:p>
        </w:tc>
        <w:tc>
          <w:tcPr>
            <w:tcW w:type="dxa" w:w="153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13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Due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End-user training by role, using the tasks each person actually does, on the day-one configuration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Vendor</w:t>
            </w:r>
          </w:p>
        </w:tc>
        <w:tc>
          <w:tcPr>
            <w:tcW w:type="dxa" w:w="1531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Training environment and data match the live configuration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5F7A8C"/>
                <w:sz w:val="18"/>
              </w:rPr>
              <w:t>Vendor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Super-users named in each team and trained first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Practice time booked for every user after their training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Dress rehearsal of the final migration to the cut-over timetable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Vendor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Issue log reviewed jointly at least weekly; nothing open without an owner and a date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Housekeeping in the old system finished: bank accounts reconciled, drafts posted or deleted, payments allocated, suspense cleared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Clients and third parties told about anything that changes for them (payment links, portals, document formats)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Go-live support confirmed: extra support in the first weeks, people on site or on call, escalation route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Vendor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Support booked for the first bill run, first month-end and first client account reconciliation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5F7A8C"/>
                <w:sz w:val="18"/>
              </w:rPr>
              <w:t>Vendor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Read-only access to the old system arranged for queries and the accountant’s report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COUNTDOWN  ·  WEEK 1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The final week: cut-off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Stop new activity in the old system and capture the figures the new one will be checked against.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62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Done</w:t>
            </w:r>
          </w:p>
        </w:tc>
        <w:tc>
          <w:tcPr>
            <w:tcW w:type="dxa" w:w="5669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Lead</w:t>
            </w:r>
          </w:p>
        </w:tc>
        <w:tc>
          <w:tcPr>
            <w:tcW w:type="dxa" w:w="153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13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Due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Issue log reviewed daily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Fee earners finish recording time and costs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Final bills and receipts of the period posted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Last bank reconciliation completed for every office and client account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Cut-off reports saved: client balances by matter, office balances, aged debtors, unbilled time and disbursements, bank reconciliations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Go or no-go meeting held against the written criteria, using the go or no-go decision sheet; decision recorded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Posting stops in the old system; final extract taken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DAY ONE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Go-live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Check the things that matter most before people start work.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62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Done</w:t>
            </w:r>
          </w:p>
        </w:tc>
        <w:tc>
          <w:tcPr>
            <w:tcW w:type="dxa" w:w="5669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Lead</w:t>
            </w:r>
          </w:p>
        </w:tc>
        <w:tc>
          <w:tcPr>
            <w:tcW w:type="dxa" w:w="153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13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Due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Final migration run and accounts reconciled matter by matter against the cut-off reports; COFA sign-off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Key workflows, precedents and integrations smoke-tested on live data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Every user can sign in with multi-factor authentication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Super-users and support on the floor or on call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Staff told the system is live, where to get help and how to report a problem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80" w:after="0"/>
      </w:pPr>
      <w:r>
        <w:rPr>
          <w:b/>
          <w:i w:val="0"/>
          <w:color w:val="237A8B"/>
          <w:sz w:val="17"/>
          <w:spacing w:val="30"/>
        </w:rPr>
        <w:t>AFTER GO-LIVE</w:t>
      </w:r>
    </w:p>
    <w:p>
      <w:pPr>
        <w:keepNext/>
        <w:spacing w:after="20"/>
      </w:pPr>
      <w:r>
        <w:rPr>
          <w:b/>
          <w:i w:val="0"/>
          <w:color w:val="0B2545"/>
          <w:sz w:val="28"/>
        </w:rPr>
        <w:t>The first four weeks</w:t>
      </w:r>
    </w:p>
    <w:p>
      <w:pPr>
        <w:keepNext/>
        <w:spacing w:after="100"/>
      </w:pPr>
      <w:r>
        <w:rPr>
          <w:b w:val="0"/>
          <w:i/>
          <w:color w:val="5F7A8C"/>
          <w:sz w:val="19"/>
        </w:rPr>
        <w:t>Stay close: small problems found early stay small.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5EB"/>
          <w:left w:val="single" w:sz="4" w:color="DDE5EB"/>
          <w:bottom w:val="single" w:sz="4" w:color="DDE5EB"/>
          <w:right w:val="single" w:sz="4" w:color="DDE5EB"/>
          <w:insideH w:val="single" w:sz="4" w:color="DDE5EB"/>
          <w:insideV w:val="single" w:sz="4" w:color="DDE5EB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 w:val="true"/>
        </w:trPr>
        <w:tc>
          <w:tcPr>
            <w:tcW w:type="dxa" w:w="62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Done</w:t>
            </w:r>
          </w:p>
        </w:tc>
        <w:tc>
          <w:tcPr>
            <w:tcW w:type="dxa" w:w="5669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907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Lead</w:t>
            </w:r>
          </w:p>
        </w:tc>
        <w:tc>
          <w:tcPr>
            <w:tcW w:type="dxa" w:w="1531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134"/>
            <w:shd w:val="clear" w:color="auto" w:fill="0B2545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FFFFFF"/>
                <w:sz w:val="18"/>
              </w:rPr>
              <w:t>Due</w:t>
            </w: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Daily check-in with the vendor in the first week, then weekly</w:t>
            </w:r>
          </w:p>
        </w:tc>
        <w:tc>
          <w:tcPr>
            <w:tcW w:type="dxa" w:w="907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First bills produced and checked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keepNext/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First client account reconciliation completed and signed off within the SRA timeframe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First month-end completed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0B2545"/>
                <w:sz w:val="18"/>
              </w:rPr>
              <w:t>Firm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After go-live list reviewed and prioritised; changes scheduled, not rushed</w:t>
            </w:r>
          </w:p>
        </w:tc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vAlign w:val="center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624"/>
            <w:shd w:val="clear" w:color="auto" w:fill="F4F7F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237A8B"/>
                <w:sz w:val="24"/>
              </w:rPr>
              <w:t>☐</w:t>
            </w:r>
          </w:p>
        </w:tc>
        <w:tc>
          <w:tcPr>
            <w:tcW w:type="dxa" w:w="5669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 w:val="0"/>
                <w:i w:val="0"/>
                <w:color w:val="3B4452"/>
                <w:sz w:val="19"/>
              </w:rPr>
              <w:t>Lessons learned recorded while they are fresh</w:t>
            </w:r>
          </w:p>
        </w:tc>
        <w:tc>
          <w:tcPr>
            <w:tcW w:type="dxa" w:w="907"/>
            <w:shd w:val="clear" w:color="auto" w:fill="F4F7F9"/>
            <w:vAlign w:val="center"/>
          </w:tcPr>
          <w:p>
            <w:pPr>
              <w:spacing w:after="0"/>
            </w:pPr>
            <w:r>
              <w:rPr>
                <w:b/>
                <w:i w:val="0"/>
                <w:color w:val="237A8B"/>
                <w:sz w:val="18"/>
              </w:rPr>
              <w:t>Both</w:t>
            </w:r>
          </w:p>
        </w:tc>
        <w:tc>
          <w:tcPr>
            <w:tcW w:type="dxa" w:w="1531"/>
            <w:shd w:val="clear" w:color="auto" w:fill="F4F7F9"/>
            <w:vAlign w:val="center"/>
          </w:tcPr>
          <w:p>
            <w:pPr>
              <w:spacing w:after="0"/>
            </w:pPr>
          </w:p>
        </w:tc>
        <w:tc>
          <w:tcPr>
            <w:tcW w:type="dxa" w:w="1134"/>
            <w:shd w:val="clear" w:color="auto" w:fill="F4F7F9"/>
            <w:vAlign w:val="center"/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auto" w:w="0"/>
        <w:tblLook w:firstColumn="1" w:firstRow="1" w:lastColumn="0" w:lastRow="0" w:noHBand="0" w:noVBand="1" w:val="04A0"/>
        <w:jc w:val="center"/>
        <w:tblCellMar>
          <w:top w:w="200" w:type="dxa"/>
          <w:bottom w:w="200" w:type="dxa"/>
          <w:left w:w="260" w:type="dxa"/>
          <w:right w:w="260" w:type="dxa"/>
        </w:tblCellMar>
      </w:tblPr>
      <w:tblGrid>
        <w:gridCol w:w="9866"/>
      </w:tblGrid>
      <w:tr>
        <w:trPr>
          <w:cantSplit w:val="true"/>
        </w:trPr>
        <w:tc>
          <w:tcPr>
            <w:tcW w:type="dxa" w:w="9865"/>
            <w:shd w:val="clear" w:color="auto" w:fill="0B2545"/>
          </w:tcPr>
          <w:p>
            <w:pPr>
              <w:spacing w:after="80"/>
            </w:pPr>
            <w:r>
              <w:rPr>
                <w:b/>
                <w:i w:val="0"/>
                <w:color w:val="FFFFFF"/>
                <w:sz w:val="26"/>
              </w:rPr>
              <w:t>Going live soon?</w:t>
            </w:r>
          </w:p>
          <w:p>
            <w:pPr>
              <w:spacing w:after="120"/>
            </w:pPr>
            <w:r>
              <w:rPr>
                <w:b w:val="0"/>
                <w:i w:val="0"/>
                <w:color w:val="FFFFFF"/>
                <w:sz w:val="20"/>
              </w:rPr>
              <w:t>We act as the firm’s project manager or work alongside it: setting the readiness checkpoint, managing the vendor through the last month and making sure the decision to go live is made on evidence. Truly independent, with no vendor ties.</w:t>
            </w:r>
          </w:p>
          <w:p>
            <w:pPr>
              <w:spacing w:after="0"/>
            </w:pPr>
            <w:r>
              <w:rPr>
                <w:b/>
                <w:i w:val="0"/>
                <w:color w:val="6CC3D3"/>
                <w:sz w:val="21"/>
              </w:rPr>
              <w:t>advice@pclt.co.uk</w:t>
            </w:r>
            <w:r>
              <w:rPr>
                <w:b w:val="0"/>
                <w:i w:val="0"/>
                <w:color w:val="6CC3D3"/>
                <w:sz w:val="21"/>
              </w:rPr>
              <w:t xml:space="preserve">   |   </w:t>
            </w:r>
            <w:r>
              <w:rPr>
                <w:b/>
                <w:i w:val="0"/>
                <w:color w:val="6CC3D3"/>
                <w:sz w:val="21"/>
              </w:rPr>
              <w:t>pclt.co.uk</w:t>
            </w:r>
          </w:p>
        </w:tc>
      </w:tr>
    </w:tbl>
    <w:p>
      <w:pPr>
        <w:spacing w:before="160"/>
      </w:pPr>
      <w:r>
        <w:rPr>
          <w:b w:val="0"/>
          <w:i w:val="0"/>
          <w:color w:val="5F7A8C"/>
          <w:sz w:val="16"/>
        </w:rPr>
        <w:t>From the insight “One month before go-live” at pclt.co.uk/insights/one-month-before-go-live.html. General guidance only; adapt it to your own project and contracts.</w:t>
      </w:r>
    </w:p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1134" w:right="1020" w:bottom="1020" w:left="1020" w:header="0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8" w:space="6" w:color="2A8FA3"/>
      </w:pBdr>
      <w:tabs>
        <w:tab w:pos="9866" w:val="right"/>
      </w:tabs>
    </w:pPr>
    <w:r>
      <w:rPr>
        <w:b/>
        <w:i w:val="0"/>
        <w:color w:val="0B2545"/>
        <w:sz w:val="16"/>
      </w:rPr>
      <w:t>PC Legal Technology</w:t>
    </w:r>
    <w:r>
      <w:rPr>
        <w:b w:val="0"/>
        <w:i w:val="0"/>
        <w:color w:val="5F7A8C"/>
        <w:sz w:val="16"/>
      </w:rPr>
      <w:t xml:space="preserve">  |  Independent legal technology consultancy  |  advice@pclt.co.uk  |  pclt.co.uk</w:t>
      <w:tab/>
      <w:t xml:space="preserve">Page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PAGE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  <w:r>
      <w:rPr>
        <w:b w:val="0"/>
        <w:i w:val="0"/>
        <w:color w:val="5F7A8C"/>
        <w:sz w:val="16"/>
      </w:rPr>
      <w:t xml:space="preserve"> of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NUMPAGES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8" w:space="6" w:color="2A8FA3"/>
      </w:pBdr>
      <w:tabs>
        <w:tab w:pos="9866" w:val="right"/>
      </w:tabs>
    </w:pPr>
    <w:r>
      <w:rPr>
        <w:b/>
        <w:i w:val="0"/>
        <w:color w:val="0B2545"/>
        <w:sz w:val="16"/>
      </w:rPr>
      <w:t>PC Legal Technology</w:t>
    </w:r>
    <w:r>
      <w:rPr>
        <w:b w:val="0"/>
        <w:i w:val="0"/>
        <w:color w:val="5F7A8C"/>
        <w:sz w:val="16"/>
      </w:rPr>
      <w:t xml:space="preserve">  |  Independent legal technology consultancy  |  advice@pclt.co.uk  |  pclt.co.uk</w:t>
      <w:tab/>
      <w:t xml:space="preserve">Page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PAGE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  <w:r>
      <w:rPr>
        <w:b w:val="0"/>
        <w:i w:val="0"/>
        <w:color w:val="5F7A8C"/>
        <w:sz w:val="16"/>
      </w:rPr>
      <w:t xml:space="preserve"> of </w:t>
    </w:r>
    <w:r>
      <w:rPr>
        <w:color w:val="5F7A8C"/>
        <w:sz w:val="16"/>
      </w:rPr>
      <w:fldChar w:fldCharType="begin"/>
    </w:r>
    <w:r>
      <w:rPr>
        <w:color w:val="5F7A8C"/>
        <w:sz w:val="16"/>
      </w:rPr>
      <w:instrText xml:space="preserve"> NUMPAGES </w:instrText>
    </w:r>
    <w:r>
      <w:rPr>
        <w:color w:val="5F7A8C"/>
        <w:sz w:val="16"/>
      </w:rPr>
      <w:fldChar w:fldCharType="separate"/>
    </w:r>
    <w:r>
      <w:rPr>
        <w:color w:val="5F7A8C"/>
        <w:sz w:val="16"/>
      </w:rPr>
      <w:t>1</w:t>
    </w:r>
    <w:r>
      <w:rPr>
        <w:color w:val="5F7A8C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020" w:right="-1020"/>
    </w:pPr>
    <w:r>
      <w:drawing>
        <wp:inline xmlns:a="http://schemas.openxmlformats.org/drawingml/2006/main" xmlns:pic="http://schemas.openxmlformats.org/drawingml/2006/picture">
          <wp:extent cx="7560310" cy="100600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-header-lar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06009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020" w:right="-1020"/>
    </w:pPr>
    <w:r>
      <w:drawing>
        <wp:inline xmlns:a="http://schemas.openxmlformats.org/drawingml/2006/main" xmlns:pic="http://schemas.openxmlformats.org/drawingml/2006/picture">
          <wp:extent cx="7560310" cy="45727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-header-sli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45727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color w:val="3B44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month to go-live: countdown checklist</dc:title>
  <dc:subject/>
  <dc:creator>PC Legal Technology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