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</w:pPr>
      <w:r>
        <w:rPr>
          <w:b/>
          <w:i w:val="0"/>
          <w:color w:val="237A8B"/>
          <w:sz w:val="18"/>
          <w:spacing w:val="30"/>
        </w:rPr>
        <w:t>INDEPENDENT GUIDANCE FOR LAW FIRMS</w:t>
      </w:r>
    </w:p>
    <w:p>
      <w:pPr>
        <w:spacing w:after="120"/>
      </w:pPr>
      <w:r>
        <w:rPr>
          <w:b/>
          <w:i w:val="0"/>
          <w:color w:val="0B2545"/>
          <w:sz w:val="48"/>
        </w:rPr>
        <w:t>Go or no-go decision sheet</w:t>
      </w:r>
    </w:p>
    <w:p>
      <w:pPr>
        <w:spacing w:after="200"/>
      </w:pPr>
      <w:r>
        <w:rPr>
          <w:b w:val="0"/>
          <w:i w:val="0"/>
          <w:color w:val="3B4452"/>
          <w:sz w:val="21"/>
        </w:rPr>
        <w:t>Use this at the go or no-go meeting before the final migration. Agree the criteria in writing weeks in advance, then judge each one on evidence, not on confidence. A criterion is met, met with a workaround the firm has accepted in writing, or not met. The decision and its conditions are recorded here.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80" w:type="dxa"/>
          <w:bottom w:w="80" w:type="dxa"/>
          <w:left w:w="120" w:type="dxa"/>
          <w:right w:w="120" w:type="dxa"/>
        </w:tblCellMar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F4F7F9"/>
          </w:tcPr>
          <w:p>
            <w:r>
              <w:rPr>
                <w:b/>
                <w:i w:val="0"/>
                <w:color w:val="237A8B"/>
                <w:sz w:val="16"/>
                <w:spacing w:val="20"/>
              </w:rPr>
              <w:t>PROJECT</w:t>
            </w:r>
          </w:p>
        </w:tc>
        <w:tc>
          <w:tcPr>
            <w:tcW w:type="dxa" w:w="2466"/>
            <w:shd w:val="clear" w:color="auto" w:fill="F4F7F9"/>
          </w:tcPr>
          <w:p>
            <w:r>
              <w:rPr>
                <w:b/>
                <w:i w:val="0"/>
                <w:color w:val="237A8B"/>
                <w:sz w:val="16"/>
                <w:spacing w:val="20"/>
              </w:rPr>
              <w:t>PLANNED GO-LIVE DATE</w:t>
            </w:r>
          </w:p>
        </w:tc>
        <w:tc>
          <w:tcPr>
            <w:tcW w:type="dxa" w:w="2466"/>
            <w:shd w:val="clear" w:color="auto" w:fill="F4F7F9"/>
          </w:tcPr>
          <w:p>
            <w:r>
              <w:rPr>
                <w:b/>
                <w:i w:val="0"/>
                <w:color w:val="237A8B"/>
                <w:sz w:val="16"/>
                <w:spacing w:val="20"/>
              </w:rPr>
              <w:t>MEETING DATE</w:t>
            </w:r>
          </w:p>
        </w:tc>
        <w:tc>
          <w:tcPr>
            <w:tcW w:type="dxa" w:w="2466"/>
            <w:shd w:val="clear" w:color="auto" w:fill="F4F7F9"/>
          </w:tcPr>
          <w:p>
            <w:r>
              <w:rPr>
                <w:b/>
                <w:i w:val="0"/>
                <w:color w:val="237A8B"/>
                <w:sz w:val="16"/>
                <w:spacing w:val="20"/>
              </w:rPr>
              <w:t>CHAIR</w:t>
            </w:r>
          </w:p>
        </w:tc>
      </w:tr>
      <w:tr>
        <w:tc>
          <w:tcPr>
            <w:tcW w:type="dxa" w:w="2466"/>
            <w:shd w:val="clear" w:color="auto" w:fill="F4F7F9"/>
          </w:tcPr>
          <w:p>
            <w:r>
              <w:rPr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2466"/>
            <w:shd w:val="clear" w:color="auto" w:fill="F4F7F9"/>
          </w:tcPr>
          <w:p>
            <w:r>
              <w:rPr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2466"/>
            <w:shd w:val="clear" w:color="auto" w:fill="F4F7F9"/>
          </w:tcPr>
          <w:p>
            <w:r>
              <w:rPr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2466"/>
            <w:shd w:val="clear" w:color="auto" w:fill="F4F7F9"/>
          </w:tcPr>
          <w:p>
            <w:r>
              <w:rPr>
                <w:b w:val="0"/>
                <w:i w:val="0"/>
                <w:sz w:val="22"/>
              </w:rPr>
              <w:t xml:space="preserve"> </w:t>
            </w:r>
          </w:p>
        </w:tc>
      </w:tr>
    </w:tbl>
    <w:p>
      <w:pPr>
        <w:keepNext/>
        <w:spacing w:before="280" w:after="0"/>
      </w:pPr>
      <w:r>
        <w:rPr>
          <w:b/>
          <w:i w:val="0"/>
          <w:color w:val="237A8B"/>
          <w:sz w:val="17"/>
          <w:spacing w:val="30"/>
        </w:rPr>
        <w:t>STEP 1  ·  THE CRITERIA</w:t>
      </w:r>
    </w:p>
    <w:p>
      <w:pPr>
        <w:keepNext/>
        <w:spacing w:after="20"/>
      </w:pPr>
      <w:r>
        <w:rPr>
          <w:b/>
          <w:i w:val="0"/>
          <w:color w:val="0B2545"/>
          <w:sz w:val="28"/>
        </w:rPr>
        <w:t>Is each criterion met?</w:t>
      </w:r>
    </w:p>
    <w:p>
      <w:pPr>
        <w:keepNext/>
        <w:spacing w:after="100"/>
      </w:pPr>
      <w:r>
        <w:rPr>
          <w:b w:val="0"/>
          <w:i/>
          <w:color w:val="5F7A8C"/>
          <w:sz w:val="19"/>
        </w:rPr>
        <w:t>Tick one box for each. Record the evidence you looked at, not just that it exists.</w:t>
      </w:r>
    </w:p>
    <w:p>
      <w:pPr>
        <w:keepNext/>
        <w:spacing w:before="160" w:after="60"/>
      </w:pPr>
      <w:r>
        <w:rPr>
          <w:b/>
          <w:i w:val="0"/>
          <w:color w:val="237A8B"/>
          <w:sz w:val="22"/>
        </w:rPr>
        <w:t>Accounts and data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50" w:type="dxa"/>
          <w:bottom w:w="50" w:type="dxa"/>
          <w:left w:w="80" w:type="dxa"/>
          <w:right w:w="80" w:type="dxa"/>
        </w:tblCellMar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blHeader w:val="true"/>
          <w:cantSplit w:val="true"/>
        </w:trPr>
        <w:tc>
          <w:tcPr>
            <w:tcW w:type="dxa" w:w="4082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Criterion</w:t>
            </w:r>
          </w:p>
        </w:tc>
        <w:tc>
          <w:tcPr>
            <w:tcW w:type="dxa" w:w="2041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Evidence</w:t>
            </w:r>
          </w:p>
        </w:tc>
        <w:tc>
          <w:tcPr>
            <w:tcW w:type="dxa" w:w="73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Met</w:t>
            </w:r>
          </w:p>
        </w:tc>
        <w:tc>
          <w:tcPr>
            <w:tcW w:type="dxa" w:w="90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Work-around</w:t>
            </w:r>
          </w:p>
        </w:tc>
        <w:tc>
          <w:tcPr>
            <w:tcW w:type="dxa" w:w="850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Not met</w:t>
            </w:r>
          </w:p>
        </w:tc>
        <w:tc>
          <w:tcPr>
            <w:tcW w:type="dxa" w:w="124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</w:tr>
      <w:tr>
        <w:trPr>
          <w:cantSplit w:val="true"/>
        </w:trPr>
        <w:tc>
          <w:tcPr>
            <w:tcW w:type="dxa" w:w="4082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Final trial migration reconciled matter by matter, and the accounts signed off by the COFA</w:t>
            </w:r>
          </w:p>
        </w:tc>
        <w:tc>
          <w:tcPr>
            <w:tcW w:type="dxa" w:w="2041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Validation checklist</w:t>
            </w:r>
          </w:p>
        </w:tc>
        <w:tc>
          <w:tcPr>
            <w:tcW w:type="dxa" w:w="73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4082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Trial migration issues closed, or accepted with a workaround</w:t>
            </w:r>
          </w:p>
        </w:tc>
        <w:tc>
          <w:tcPr>
            <w:tcW w:type="dxa" w:w="2041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Issue log</w:t>
            </w:r>
          </w:p>
        </w:tc>
        <w:tc>
          <w:tcPr>
            <w:tcW w:type="dxa" w:w="73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4082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Client and office bank reconciliations agree in both systems at the trial cut-off</w:t>
            </w:r>
          </w:p>
        </w:tc>
        <w:tc>
          <w:tcPr>
            <w:tcW w:type="dxa" w:w="2041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Reconciliations</w:t>
            </w:r>
          </w:p>
        </w:tc>
        <w:tc>
          <w:tcPr>
            <w:tcW w:type="dxa" w:w="73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4082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Custom data, key dates and documents checked by the people who own the matters</w:t>
            </w:r>
          </w:p>
        </w:tc>
        <w:tc>
          <w:tcPr>
            <w:tcW w:type="dxa" w:w="2041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5F7A8C"/>
                <w:sz w:val="18"/>
              </w:rPr>
              <w:t>Spot-check sample</w:t>
            </w:r>
          </w:p>
        </w:tc>
        <w:tc>
          <w:tcPr>
            <w:tcW w:type="dxa" w:w="737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shd w:val="clear" w:color="auto" w:fill="F4F7F9"/>
            <w:vAlign w:val="center"/>
          </w:tcPr>
          <w:p>
            <w:pPr>
              <w:spacing w:after="0"/>
            </w:pPr>
          </w:p>
        </w:tc>
      </w:tr>
    </w:tbl>
    <w:p>
      <w:pPr>
        <w:keepNext/>
        <w:spacing w:before="160" w:after="60"/>
      </w:pPr>
      <w:r>
        <w:rPr>
          <w:b/>
          <w:i w:val="0"/>
          <w:color w:val="237A8B"/>
          <w:sz w:val="22"/>
        </w:rPr>
        <w:t>The system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50" w:type="dxa"/>
          <w:bottom w:w="50" w:type="dxa"/>
          <w:left w:w="80" w:type="dxa"/>
          <w:right w:w="80" w:type="dxa"/>
        </w:tblCellMar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blHeader w:val="true"/>
          <w:cantSplit w:val="true"/>
        </w:trPr>
        <w:tc>
          <w:tcPr>
            <w:tcW w:type="dxa" w:w="4082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Criterion</w:t>
            </w:r>
          </w:p>
        </w:tc>
        <w:tc>
          <w:tcPr>
            <w:tcW w:type="dxa" w:w="2041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Evidence</w:t>
            </w:r>
          </w:p>
        </w:tc>
        <w:tc>
          <w:tcPr>
            <w:tcW w:type="dxa" w:w="73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Met</w:t>
            </w:r>
          </w:p>
        </w:tc>
        <w:tc>
          <w:tcPr>
            <w:tcW w:type="dxa" w:w="90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Work-around</w:t>
            </w:r>
          </w:p>
        </w:tc>
        <w:tc>
          <w:tcPr>
            <w:tcW w:type="dxa" w:w="850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Not met</w:t>
            </w:r>
          </w:p>
        </w:tc>
        <w:tc>
          <w:tcPr>
            <w:tcW w:type="dxa" w:w="124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</w:tr>
      <w:tr>
        <w:trPr>
          <w:cantSplit w:val="true"/>
        </w:trPr>
        <w:tc>
          <w:tcPr>
            <w:tcW w:type="dxa" w:w="4082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User acceptance testing signed off</w:t>
            </w:r>
          </w:p>
        </w:tc>
        <w:tc>
          <w:tcPr>
            <w:tcW w:type="dxa" w:w="2041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UAT sign-off</w:t>
            </w:r>
          </w:p>
        </w:tc>
        <w:tc>
          <w:tcPr>
            <w:tcW w:type="dxa" w:w="73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4082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Every case type and workflow tested end to end, on new and migrated matters</w:t>
            </w:r>
          </w:p>
        </w:tc>
        <w:tc>
          <w:tcPr>
            <w:tcW w:type="dxa" w:w="2041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Test log</w:t>
            </w:r>
          </w:p>
        </w:tc>
        <w:tc>
          <w:tcPr>
            <w:tcW w:type="dxa" w:w="73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4082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Precedents generate correctly from migrated data</w:t>
            </w:r>
          </w:p>
        </w:tc>
        <w:tc>
          <w:tcPr>
            <w:tcW w:type="dxa" w:w="2041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Test log</w:t>
            </w:r>
          </w:p>
        </w:tc>
        <w:tc>
          <w:tcPr>
            <w:tcW w:type="dxa" w:w="73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4082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Client and matter inception tested as one process, including ID and AML checks</w:t>
            </w:r>
          </w:p>
        </w:tc>
        <w:tc>
          <w:tcPr>
            <w:tcW w:type="dxa" w:w="2041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Test log</w:t>
            </w:r>
          </w:p>
        </w:tc>
        <w:tc>
          <w:tcPr>
            <w:tcW w:type="dxa" w:w="73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4082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Integrations working: accounts package, email and Outlook, e-signature, searches, payments</w:t>
            </w:r>
          </w:p>
        </w:tc>
        <w:tc>
          <w:tcPr>
            <w:tcW w:type="dxa" w:w="2041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Test log</w:t>
            </w:r>
          </w:p>
        </w:tc>
        <w:tc>
          <w:tcPr>
            <w:tcW w:type="dxa" w:w="73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4082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Key reports produce figures the partners, accounts team and compliance officers recognise</w:t>
            </w:r>
          </w:p>
        </w:tc>
        <w:tc>
          <w:tcPr>
            <w:tcW w:type="dxa" w:w="2041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Report sign-off</w:t>
            </w:r>
          </w:p>
        </w:tc>
        <w:tc>
          <w:tcPr>
            <w:tcW w:type="dxa" w:w="73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40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Users, roles and permissions set up; multi-factor authentication on; no accounts for leavers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5F7A8C"/>
                <w:sz w:val="18"/>
              </w:rPr>
              <w:t>User 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vAlign w:val="center"/>
          </w:tcPr>
          <w:p>
            <w:pPr>
              <w:spacing w:after="0"/>
            </w:pPr>
          </w:p>
        </w:tc>
      </w:tr>
    </w:tbl>
    <w:p>
      <w:pPr>
        <w:keepNext/>
        <w:spacing w:before="160" w:after="60"/>
      </w:pPr>
      <w:r>
        <w:rPr>
          <w:b/>
          <w:i w:val="0"/>
          <w:color w:val="237A8B"/>
          <w:sz w:val="22"/>
        </w:rPr>
        <w:t>Risk and compliance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50" w:type="dxa"/>
          <w:bottom w:w="50" w:type="dxa"/>
          <w:left w:w="80" w:type="dxa"/>
          <w:right w:w="80" w:type="dxa"/>
        </w:tblCellMar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blHeader w:val="true"/>
          <w:cantSplit w:val="true"/>
        </w:trPr>
        <w:tc>
          <w:tcPr>
            <w:tcW w:type="dxa" w:w="4082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Criterion</w:t>
            </w:r>
          </w:p>
        </w:tc>
        <w:tc>
          <w:tcPr>
            <w:tcW w:type="dxa" w:w="2041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Evidence</w:t>
            </w:r>
          </w:p>
        </w:tc>
        <w:tc>
          <w:tcPr>
            <w:tcW w:type="dxa" w:w="73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Met</w:t>
            </w:r>
          </w:p>
        </w:tc>
        <w:tc>
          <w:tcPr>
            <w:tcW w:type="dxa" w:w="90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Work-around</w:t>
            </w:r>
          </w:p>
        </w:tc>
        <w:tc>
          <w:tcPr>
            <w:tcW w:type="dxa" w:w="850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Not met</w:t>
            </w:r>
          </w:p>
        </w:tc>
        <w:tc>
          <w:tcPr>
            <w:tcW w:type="dxa" w:w="124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</w:tr>
      <w:tr>
        <w:trPr>
          <w:cantSplit w:val="true"/>
        </w:trPr>
        <w:tc>
          <w:tcPr>
            <w:tcW w:type="dxa" w:w="4082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Configuration reviewed by the COLP and COFA against the risk register and policies</w:t>
            </w:r>
          </w:p>
        </w:tc>
        <w:tc>
          <w:tcPr>
            <w:tcW w:type="dxa" w:w="2041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Review notes</w:t>
            </w:r>
          </w:p>
        </w:tc>
        <w:tc>
          <w:tcPr>
            <w:tcW w:type="dxa" w:w="73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4082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Client account controls, ethical walls and audit trails working</w:t>
            </w:r>
          </w:p>
        </w:tc>
        <w:tc>
          <w:tcPr>
            <w:tcW w:type="dxa" w:w="2041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Test log</w:t>
            </w:r>
          </w:p>
        </w:tc>
        <w:tc>
          <w:tcPr>
            <w:tcW w:type="dxa" w:w="73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40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Every key date has an owner and has been checked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5F7A8C"/>
                <w:sz w:val="18"/>
              </w:rPr>
              <w:t>Key date report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vAlign w:val="center"/>
          </w:tcPr>
          <w:p>
            <w:pPr>
              <w:spacing w:after="0"/>
            </w:pPr>
          </w:p>
        </w:tc>
      </w:tr>
    </w:tbl>
    <w:p>
      <w:pPr>
        <w:keepNext/>
        <w:spacing w:before="160" w:after="60"/>
      </w:pPr>
      <w:r>
        <w:rPr>
          <w:b/>
          <w:i w:val="0"/>
          <w:color w:val="237A8B"/>
          <w:sz w:val="22"/>
        </w:rPr>
        <w:t>People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50" w:type="dxa"/>
          <w:bottom w:w="50" w:type="dxa"/>
          <w:left w:w="80" w:type="dxa"/>
          <w:right w:w="80" w:type="dxa"/>
        </w:tblCellMar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blHeader w:val="true"/>
          <w:cantSplit w:val="true"/>
        </w:trPr>
        <w:tc>
          <w:tcPr>
            <w:tcW w:type="dxa" w:w="4082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Criterion</w:t>
            </w:r>
          </w:p>
        </w:tc>
        <w:tc>
          <w:tcPr>
            <w:tcW w:type="dxa" w:w="2041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Evidence</w:t>
            </w:r>
          </w:p>
        </w:tc>
        <w:tc>
          <w:tcPr>
            <w:tcW w:type="dxa" w:w="73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Met</w:t>
            </w:r>
          </w:p>
        </w:tc>
        <w:tc>
          <w:tcPr>
            <w:tcW w:type="dxa" w:w="90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Work-around</w:t>
            </w:r>
          </w:p>
        </w:tc>
        <w:tc>
          <w:tcPr>
            <w:tcW w:type="dxa" w:w="850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Not met</w:t>
            </w:r>
          </w:p>
        </w:tc>
        <w:tc>
          <w:tcPr>
            <w:tcW w:type="dxa" w:w="124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</w:tr>
      <w:tr>
        <w:trPr>
          <w:cantSplit w:val="true"/>
        </w:trPr>
        <w:tc>
          <w:tcPr>
            <w:tcW w:type="dxa" w:w="4082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End users trained on the live configuration, by role</w:t>
            </w:r>
          </w:p>
        </w:tc>
        <w:tc>
          <w:tcPr>
            <w:tcW w:type="dxa" w:w="2041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Training register</w:t>
            </w:r>
          </w:p>
        </w:tc>
        <w:tc>
          <w:tcPr>
            <w:tcW w:type="dxa" w:w="73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4082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Super-users named and ready in every team</w:t>
            </w:r>
          </w:p>
        </w:tc>
        <w:tc>
          <w:tcPr>
            <w:tcW w:type="dxa" w:w="2041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Names</w:t>
            </w:r>
          </w:p>
        </w:tc>
        <w:tc>
          <w:tcPr>
            <w:tcW w:type="dxa" w:w="73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40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Staff know the go-live timetable, where to get help and how to report a problem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5F7A8C"/>
                <w:sz w:val="18"/>
              </w:rPr>
              <w:t>Communications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vAlign w:val="center"/>
          </w:tcPr>
          <w:p>
            <w:pPr>
              <w:spacing w:after="0"/>
            </w:pPr>
          </w:p>
        </w:tc>
      </w:tr>
    </w:tbl>
    <w:p>
      <w:pPr>
        <w:keepNext/>
        <w:spacing w:before="160" w:after="60"/>
      </w:pPr>
      <w:r>
        <w:rPr>
          <w:b/>
          <w:i w:val="0"/>
          <w:color w:val="237A8B"/>
          <w:sz w:val="22"/>
        </w:rPr>
        <w:t>Cut-over and support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50" w:type="dxa"/>
          <w:bottom w:w="50" w:type="dxa"/>
          <w:left w:w="80" w:type="dxa"/>
          <w:right w:w="80" w:type="dxa"/>
        </w:tblCellMar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blHeader w:val="true"/>
          <w:cantSplit w:val="true"/>
        </w:trPr>
        <w:tc>
          <w:tcPr>
            <w:tcW w:type="dxa" w:w="4082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Criterion</w:t>
            </w:r>
          </w:p>
        </w:tc>
        <w:tc>
          <w:tcPr>
            <w:tcW w:type="dxa" w:w="2041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Evidence</w:t>
            </w:r>
          </w:p>
        </w:tc>
        <w:tc>
          <w:tcPr>
            <w:tcW w:type="dxa" w:w="73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Met</w:t>
            </w:r>
          </w:p>
        </w:tc>
        <w:tc>
          <w:tcPr>
            <w:tcW w:type="dxa" w:w="90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Work-around</w:t>
            </w:r>
          </w:p>
        </w:tc>
        <w:tc>
          <w:tcPr>
            <w:tcW w:type="dxa" w:w="850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Not met</w:t>
            </w:r>
          </w:p>
        </w:tc>
        <w:tc>
          <w:tcPr>
            <w:tcW w:type="dxa" w:w="124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</w:tr>
      <w:tr>
        <w:trPr>
          <w:cantSplit w:val="true"/>
        </w:trPr>
        <w:tc>
          <w:tcPr>
            <w:tcW w:type="dxa" w:w="4082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Cut-over timetable agreed, with named people on both sides</w:t>
            </w:r>
          </w:p>
        </w:tc>
        <w:tc>
          <w:tcPr>
            <w:tcW w:type="dxa" w:w="2041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Cut-over plan</w:t>
            </w:r>
          </w:p>
        </w:tc>
        <w:tc>
          <w:tcPr>
            <w:tcW w:type="dxa" w:w="73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4082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Old system: posting stop time agreed, final extract arranged, read-only access in place afterwards</w:t>
            </w:r>
          </w:p>
        </w:tc>
        <w:tc>
          <w:tcPr>
            <w:tcW w:type="dxa" w:w="2041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Cut-over plan</w:t>
            </w:r>
          </w:p>
        </w:tc>
        <w:tc>
          <w:tcPr>
            <w:tcW w:type="dxa" w:w="73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4082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Vendor go-live support confirmed: extra support, people on site or on call, escalation route</w:t>
            </w:r>
          </w:p>
        </w:tc>
        <w:tc>
          <w:tcPr>
            <w:tcW w:type="dxa" w:w="2041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Support plan</w:t>
            </w:r>
          </w:p>
        </w:tc>
        <w:tc>
          <w:tcPr>
            <w:tcW w:type="dxa" w:w="73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4082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Support booked for the first bill run, first month-end and first client account reconciliation</w:t>
            </w:r>
          </w:p>
        </w:tc>
        <w:tc>
          <w:tcPr>
            <w:tcW w:type="dxa" w:w="2041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Support plan</w:t>
            </w:r>
          </w:p>
        </w:tc>
        <w:tc>
          <w:tcPr>
            <w:tcW w:type="dxa" w:w="73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40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Fallback plan agreed: what would make us stop, by when, and how we return to the old system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5F7A8C"/>
                <w:sz w:val="18"/>
              </w:rPr>
              <w:t>Fallback plan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vAlign w:val="center"/>
          </w:tcPr>
          <w:p>
            <w:pPr>
              <w:spacing w:after="0"/>
            </w:pPr>
          </w:p>
        </w:tc>
      </w:tr>
    </w:tbl>
    <w:p>
      <w:pPr>
        <w:keepNext/>
        <w:spacing w:before="160" w:after="60"/>
      </w:pPr>
      <w:r>
        <w:rPr>
          <w:b/>
          <w:i w:val="0"/>
          <w:color w:val="237A8B"/>
          <w:sz w:val="22"/>
        </w:rPr>
        <w:t>Open issues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50" w:type="dxa"/>
          <w:bottom w:w="50" w:type="dxa"/>
          <w:left w:w="80" w:type="dxa"/>
          <w:right w:w="80" w:type="dxa"/>
        </w:tblCellMar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blHeader w:val="true"/>
          <w:cantSplit w:val="true"/>
        </w:trPr>
        <w:tc>
          <w:tcPr>
            <w:tcW w:type="dxa" w:w="4082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Criterion</w:t>
            </w:r>
          </w:p>
        </w:tc>
        <w:tc>
          <w:tcPr>
            <w:tcW w:type="dxa" w:w="2041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Evidence</w:t>
            </w:r>
          </w:p>
        </w:tc>
        <w:tc>
          <w:tcPr>
            <w:tcW w:type="dxa" w:w="73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Met</w:t>
            </w:r>
          </w:p>
        </w:tc>
        <w:tc>
          <w:tcPr>
            <w:tcW w:type="dxa" w:w="90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Work-around</w:t>
            </w:r>
          </w:p>
        </w:tc>
        <w:tc>
          <w:tcPr>
            <w:tcW w:type="dxa" w:w="850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Not met</w:t>
            </w:r>
          </w:p>
        </w:tc>
        <w:tc>
          <w:tcPr>
            <w:tcW w:type="dxa" w:w="124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</w:tr>
      <w:tr>
        <w:trPr>
          <w:cantSplit w:val="true"/>
        </w:trPr>
        <w:tc>
          <w:tcPr>
            <w:tcW w:type="dxa" w:w="4082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No open issue that affects client money, key dates or the ability to work</w:t>
            </w:r>
          </w:p>
        </w:tc>
        <w:tc>
          <w:tcPr>
            <w:tcW w:type="dxa" w:w="2041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Issue log</w:t>
            </w:r>
          </w:p>
        </w:tc>
        <w:tc>
          <w:tcPr>
            <w:tcW w:type="dxa" w:w="73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4082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Every other open issue has an owner, a workaround and a fix date</w:t>
            </w:r>
          </w:p>
        </w:tc>
        <w:tc>
          <w:tcPr>
            <w:tcW w:type="dxa" w:w="2041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5F7A8C"/>
                <w:sz w:val="18"/>
              </w:rPr>
              <w:t>Issue log</w:t>
            </w:r>
          </w:p>
        </w:tc>
        <w:tc>
          <w:tcPr>
            <w:tcW w:type="dxa" w:w="737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850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247"/>
            <w:shd w:val="clear" w:color="auto" w:fill="F4F7F9"/>
            <w:vAlign w:val="center"/>
          </w:tcPr>
          <w:p>
            <w:pPr>
              <w:spacing w:after="0"/>
            </w:pPr>
          </w:p>
        </w:tc>
      </w:tr>
    </w:tbl>
    <w:p>
      <w:pPr>
        <w:keepNext/>
        <w:spacing w:before="280" w:after="0"/>
      </w:pPr>
      <w:r>
        <w:rPr>
          <w:b/>
          <w:i w:val="0"/>
          <w:color w:val="237A8B"/>
          <w:sz w:val="17"/>
          <w:spacing w:val="30"/>
        </w:rPr>
        <w:t>STEP 2  ·  OPEN ISSUES</w:t>
      </w:r>
    </w:p>
    <w:p>
      <w:pPr>
        <w:keepNext/>
        <w:spacing w:after="20"/>
      </w:pPr>
      <w:r>
        <w:rPr>
          <w:b/>
          <w:i w:val="0"/>
          <w:color w:val="0B2545"/>
          <w:sz w:val="28"/>
        </w:rPr>
        <w:t>Open issues carried into go-live</w:t>
      </w:r>
    </w:p>
    <w:p>
      <w:pPr>
        <w:keepNext/>
        <w:spacing w:after="100"/>
      </w:pPr>
      <w:r>
        <w:rPr>
          <w:b w:val="0"/>
          <w:i/>
          <w:color w:val="5F7A8C"/>
          <w:sz w:val="19"/>
        </w:rPr>
        <w:t>Anything not fully fixed, with its workaround. Nothing here should touch client money or key dates.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50" w:type="dxa"/>
          <w:bottom w:w="50" w:type="dxa"/>
          <w:left w:w="80" w:type="dxa"/>
          <w:right w:w="80" w:type="dxa"/>
        </w:tblCellMar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blHeader w:val="true"/>
          <w:cantSplit w:val="true"/>
        </w:trPr>
        <w:tc>
          <w:tcPr>
            <w:tcW w:type="dxa" w:w="964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Issue no.</w:t>
            </w:r>
          </w:p>
        </w:tc>
        <w:tc>
          <w:tcPr>
            <w:tcW w:type="dxa" w:w="3175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Description</w:t>
            </w:r>
          </w:p>
        </w:tc>
        <w:tc>
          <w:tcPr>
            <w:tcW w:type="dxa" w:w="1020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Severity</w:t>
            </w:r>
          </w:p>
        </w:tc>
        <w:tc>
          <w:tcPr>
            <w:tcW w:type="dxa" w:w="2438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Workaround</w:t>
            </w:r>
          </w:p>
        </w:tc>
        <w:tc>
          <w:tcPr>
            <w:tcW w:type="dxa" w:w="1134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  <w:tc>
          <w:tcPr>
            <w:tcW w:type="dxa" w:w="1134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Fix date</w:t>
            </w:r>
          </w:p>
        </w:tc>
      </w:tr>
      <w:tr>
        <w:trPr>
          <w:trHeight w:val="454"/>
          <w:cantSplit w:val="true"/>
        </w:trPr>
        <w:tc>
          <w:tcPr>
            <w:tcW w:type="dxa" w:w="964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3175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020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438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454"/>
          <w:cantSplit w:val="true"/>
        </w:trPr>
        <w:tc>
          <w:tcPr>
            <w:tcW w:type="dxa" w:w="964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3175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020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438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454"/>
          <w:cantSplit w:val="true"/>
        </w:trPr>
        <w:tc>
          <w:tcPr>
            <w:tcW w:type="dxa" w:w="964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3175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020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438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454"/>
          <w:cantSplit w:val="true"/>
        </w:trPr>
        <w:tc>
          <w:tcPr>
            <w:tcW w:type="dxa" w:w="964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3175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020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438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454"/>
          <w:cantSplit w:val="true"/>
        </w:trPr>
        <w:tc>
          <w:tcPr>
            <w:tcW w:type="dxa" w:w="964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3175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020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438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454"/>
          <w:cantSplit w:val="true"/>
        </w:trPr>
        <w:tc>
          <w:tcPr>
            <w:tcW w:type="dxa" w:w="964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3175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020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2438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spacing w:after="0"/>
            </w:pPr>
          </w:p>
        </w:tc>
      </w:tr>
    </w:tbl>
    <w:p>
      <w:pPr>
        <w:keepNext/>
        <w:spacing w:before="280" w:after="0"/>
      </w:pPr>
      <w:r>
        <w:rPr>
          <w:b/>
          <w:i w:val="0"/>
          <w:color w:val="237A8B"/>
          <w:sz w:val="17"/>
          <w:spacing w:val="30"/>
        </w:rPr>
        <w:t>STEP 3  ·  THE DECISION</w:t>
      </w:r>
    </w:p>
    <w:p>
      <w:pPr>
        <w:keepNext/>
        <w:spacing w:after="20"/>
      </w:pPr>
      <w:r>
        <w:rPr>
          <w:b/>
          <w:i w:val="0"/>
          <w:color w:val="0B2545"/>
          <w:sz w:val="28"/>
        </w:rPr>
        <w:t>Decision</w:t>
      </w:r>
    </w:p>
    <w:p>
      <w:pPr>
        <w:pStyle w:val="ListBullet"/>
        <w:spacing w:after="40"/>
      </w:pPr>
      <w:r>
        <w:rPr>
          <w:b/>
          <w:i w:val="0"/>
          <w:color w:val="0B2545"/>
          <w:sz w:val="19"/>
        </w:rPr>
        <w:t xml:space="preserve">Go: </w:t>
      </w:r>
      <w:r>
        <w:rPr>
          <w:b w:val="0"/>
          <w:i w:val="0"/>
          <w:color w:val="3B4452"/>
          <w:sz w:val="19"/>
        </w:rPr>
        <w:t>every criterion is met, or met with a workaround the firm has accepted in writing.</w:t>
      </w:r>
    </w:p>
    <w:p>
      <w:pPr>
        <w:pStyle w:val="ListBullet"/>
        <w:spacing w:after="40"/>
      </w:pPr>
      <w:r>
        <w:rPr>
          <w:b/>
          <w:i w:val="0"/>
          <w:color w:val="0B2545"/>
          <w:sz w:val="19"/>
        </w:rPr>
        <w:t xml:space="preserve">Go with conditions: </w:t>
      </w:r>
      <w:r>
        <w:rPr>
          <w:b w:val="0"/>
          <w:i w:val="0"/>
          <w:color w:val="3B4452"/>
          <w:sz w:val="19"/>
        </w:rPr>
        <w:t>only where the conditions are specific, owned, dated and do not touch client money or key dates.</w:t>
      </w:r>
    </w:p>
    <w:p>
      <w:pPr>
        <w:pStyle w:val="ListBullet"/>
        <w:spacing w:after="40"/>
      </w:pPr>
      <w:r>
        <w:rPr>
          <w:b/>
          <w:i w:val="0"/>
          <w:color w:val="0B2545"/>
          <w:sz w:val="19"/>
        </w:rPr>
        <w:t xml:space="preserve">No-go: </w:t>
      </w:r>
      <w:r>
        <w:rPr>
          <w:b w:val="0"/>
          <w:i w:val="0"/>
          <w:color w:val="3B4452"/>
          <w:sz w:val="19"/>
        </w:rPr>
        <w:t>any criterion on client money, key dates or the ability to work is not met. Set a new date and the evidence needed to meet it.</w:t>
      </w:r>
    </w:p>
    <w:p>
      <w:pPr>
        <w:spacing w:before="160" w:after="120"/>
      </w:pPr>
      <w:r>
        <w:rPr>
          <w:b w:val="0"/>
          <w:i w:val="0"/>
          <w:color w:val="237A8B"/>
          <w:sz w:val="26"/>
        </w:rPr>
        <w:t xml:space="preserve">☐ </w:t>
      </w:r>
      <w:r>
        <w:rPr>
          <w:b/>
          <w:i w:val="0"/>
          <w:color w:val="0B2545"/>
          <w:sz w:val="22"/>
        </w:rPr>
        <w:t xml:space="preserve">Go        </w:t>
      </w:r>
      <w:r>
        <w:rPr>
          <w:b w:val="0"/>
          <w:i w:val="0"/>
          <w:color w:val="237A8B"/>
          <w:sz w:val="26"/>
        </w:rPr>
        <w:t xml:space="preserve">☐ </w:t>
      </w:r>
      <w:r>
        <w:rPr>
          <w:b/>
          <w:i w:val="0"/>
          <w:color w:val="0B2545"/>
          <w:sz w:val="22"/>
        </w:rPr>
        <w:t xml:space="preserve">Go with conditions        </w:t>
      </w:r>
      <w:r>
        <w:rPr>
          <w:b w:val="0"/>
          <w:i w:val="0"/>
          <w:color w:val="237A8B"/>
          <w:sz w:val="26"/>
        </w:rPr>
        <w:t xml:space="preserve">☐ </w:t>
      </w:r>
      <w:r>
        <w:rPr>
          <w:b/>
          <w:i w:val="0"/>
          <w:color w:val="0B2545"/>
          <w:sz w:val="22"/>
        </w:rPr>
        <w:t xml:space="preserve">No-go        </w:t>
      </w:r>
      <w:r>
        <w:rPr>
          <w:b w:val="0"/>
          <w:i w:val="0"/>
          <w:color w:val="5F7A8C"/>
          <w:sz w:val="20"/>
        </w:rPr>
        <w:t>New date if no-go: ______________</w:t>
      </w:r>
    </w:p>
    <w:p>
      <w:pPr>
        <w:keepNext/>
        <w:spacing w:before="120" w:after="40"/>
      </w:pPr>
      <w:r>
        <w:rPr>
          <w:b/>
          <w:i w:val="0"/>
          <w:color w:val="237A8B"/>
          <w:sz w:val="16"/>
          <w:spacing w:val="20"/>
        </w:rPr>
        <w:t>CONDITIONS (WHAT, WHO, BY WHEN)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80" w:type="dxa"/>
          <w:bottom w:w="80" w:type="dxa"/>
          <w:left w:w="120" w:type="dxa"/>
          <w:right w:w="120" w:type="dxa"/>
        </w:tblCellMar>
      </w:tblPr>
      <w:tblGrid>
        <w:gridCol w:w="9866"/>
      </w:tblGrid>
      <w:tr>
        <w:trPr>
          <w:trHeight w:val="1134"/>
        </w:trPr>
        <w:tc>
          <w:tcPr>
            <w:tcW w:type="dxa" w:w="9865"/>
            <w:shd w:val="clear" w:color="auto" w:fill="F4F7F9"/>
          </w:tcPr>
          <w:p/>
        </w:tc>
      </w:tr>
    </w:tbl>
    <w:p>
      <w:pPr>
        <w:keepNext/>
        <w:spacing w:before="120" w:after="40"/>
      </w:pPr>
      <w:r>
        <w:rPr>
          <w:b/>
          <w:i w:val="0"/>
          <w:color w:val="237A8B"/>
          <w:sz w:val="16"/>
          <w:spacing w:val="20"/>
        </w:rPr>
        <w:t>FALLBACK TRIGGER: WHAT WOULD MAKE US STOP, AND THE LATEST TIME TO DECIDE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80" w:type="dxa"/>
          <w:bottom w:w="80" w:type="dxa"/>
          <w:left w:w="120" w:type="dxa"/>
          <w:right w:w="120" w:type="dxa"/>
        </w:tblCellMar>
      </w:tblPr>
      <w:tblGrid>
        <w:gridCol w:w="9866"/>
      </w:tblGrid>
      <w:tr>
        <w:trPr>
          <w:trHeight w:val="1134"/>
        </w:trPr>
        <w:tc>
          <w:tcPr>
            <w:tcW w:type="dxa" w:w="9865"/>
            <w:shd w:val="clear" w:color="auto" w:fill="F4F7F9"/>
          </w:tcPr>
          <w:p/>
        </w:tc>
      </w:tr>
    </w:tbl>
    <w:p>
      <w:pPr>
        <w:keepNext/>
        <w:spacing w:before="280" w:after="0"/>
      </w:pPr>
      <w:r>
        <w:rPr>
          <w:b/>
          <w:i w:val="0"/>
          <w:color w:val="237A8B"/>
          <w:sz w:val="17"/>
          <w:spacing w:val="30"/>
        </w:rPr>
        <w:t>STEP 4  ·  SIGN-OFF</w:t>
      </w:r>
    </w:p>
    <w:p>
      <w:pPr>
        <w:keepNext/>
        <w:spacing w:after="20"/>
      </w:pPr>
      <w:r>
        <w:rPr>
          <w:b/>
          <w:i w:val="0"/>
          <w:color w:val="0B2545"/>
          <w:sz w:val="28"/>
        </w:rPr>
        <w:t>Signed on behalf of the firm and the vendor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50" w:type="dxa"/>
          <w:bottom w:w="50" w:type="dxa"/>
          <w:left w:w="80" w:type="dxa"/>
          <w:right w:w="80" w:type="dxa"/>
        </w:tblCellMar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3175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Role</w:t>
            </w:r>
          </w:p>
        </w:tc>
        <w:tc>
          <w:tcPr>
            <w:tcW w:type="dxa" w:w="2494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Name</w:t>
            </w:r>
          </w:p>
        </w:tc>
        <w:tc>
          <w:tcPr>
            <w:tcW w:type="dxa" w:w="2608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Signature</w:t>
            </w:r>
          </w:p>
        </w:tc>
        <w:tc>
          <w:tcPr>
            <w:tcW w:type="dxa" w:w="158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Date</w:t>
            </w:r>
          </w:p>
        </w:tc>
      </w:tr>
      <w:tr>
        <w:trPr>
          <w:trHeight w:val="510"/>
          <w:cantSplit w:val="true"/>
        </w:trPr>
        <w:tc>
          <w:tcPr>
            <w:tcW w:type="dxa" w:w="317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0B2545"/>
                <w:sz w:val="18"/>
              </w:rPr>
              <w:t>Project sponsor or managing partner</w:t>
            </w:r>
          </w:p>
        </w:tc>
        <w:tc>
          <w:tcPr>
            <w:tcW w:type="dxa" w:w="2494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608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587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510"/>
          <w:cantSplit w:val="true"/>
        </w:trPr>
        <w:tc>
          <w:tcPr>
            <w:tcW w:type="dxa" w:w="3175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Firm’s project manager</w:t>
            </w:r>
          </w:p>
        </w:tc>
        <w:tc>
          <w:tcPr>
            <w:tcW w:type="dxa" w:w="2494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608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587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510"/>
          <w:cantSplit w:val="true"/>
        </w:trPr>
        <w:tc>
          <w:tcPr>
            <w:tcW w:type="dxa" w:w="317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0B2545"/>
                <w:sz w:val="18"/>
              </w:rPr>
              <w:t>COFA</w:t>
            </w:r>
          </w:p>
        </w:tc>
        <w:tc>
          <w:tcPr>
            <w:tcW w:type="dxa" w:w="2494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608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587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510"/>
          <w:cantSplit w:val="true"/>
        </w:trPr>
        <w:tc>
          <w:tcPr>
            <w:tcW w:type="dxa" w:w="3175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0B2545"/>
                <w:sz w:val="18"/>
              </w:rPr>
              <w:t>COLP</w:t>
            </w:r>
          </w:p>
        </w:tc>
        <w:tc>
          <w:tcPr>
            <w:tcW w:type="dxa" w:w="2494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608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587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510"/>
          <w:cantSplit w:val="true"/>
        </w:trPr>
        <w:tc>
          <w:tcPr>
            <w:tcW w:type="dxa" w:w="3175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Vendor’s project manager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</w:p>
        </w:tc>
        <w:tc>
          <w:tcPr>
            <w:tcW w:type="dxa" w:w="2608"/>
            <w:vAlign w:val="center"/>
          </w:tcPr>
          <w:p>
            <w:pPr>
              <w:spacing w:after="0"/>
            </w:pPr>
          </w:p>
        </w:tc>
        <w:tc>
          <w:tcPr>
            <w:tcW w:type="dxa" w:w="1587"/>
            <w:vAlign w:val="center"/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auto" w:w="0"/>
        <w:tblLook w:firstColumn="1" w:firstRow="1" w:lastColumn="0" w:lastRow="0" w:noHBand="0" w:noVBand="1" w:val="04A0"/>
        <w:jc w:val="center"/>
        <w:tblCellMar>
          <w:top w:w="200" w:type="dxa"/>
          <w:bottom w:w="200" w:type="dxa"/>
          <w:left w:w="260" w:type="dxa"/>
          <w:right w:w="260" w:type="dxa"/>
        </w:tblCellMar>
      </w:tblPr>
      <w:tblGrid>
        <w:gridCol w:w="9866"/>
      </w:tblGrid>
      <w:tr>
        <w:trPr>
          <w:cantSplit w:val="true"/>
        </w:trPr>
        <w:tc>
          <w:tcPr>
            <w:tcW w:type="dxa" w:w="9865"/>
            <w:shd w:val="clear" w:color="auto" w:fill="0B2545"/>
          </w:tcPr>
          <w:p>
            <w:pPr>
              <w:spacing w:after="80"/>
            </w:pPr>
            <w:r>
              <w:rPr>
                <w:b/>
                <w:i w:val="0"/>
                <w:color w:val="FFFFFF"/>
                <w:sz w:val="26"/>
              </w:rPr>
              <w:t>Want an independent chair for the decision?</w:t>
            </w:r>
          </w:p>
          <w:p>
            <w:pPr>
              <w:spacing w:after="120"/>
            </w:pPr>
            <w:r>
              <w:rPr>
                <w:b w:val="0"/>
                <w:i w:val="0"/>
                <w:color w:val="FFFFFF"/>
                <w:sz w:val="20"/>
              </w:rPr>
              <w:t>We act as the firm’s project manager or work alongside it, so the decision to go live is made on evidence, not momentum. Truly independent, with no vendor ties.</w:t>
            </w:r>
          </w:p>
          <w:p>
            <w:pPr>
              <w:spacing w:after="0"/>
            </w:pPr>
            <w:r>
              <w:rPr>
                <w:b/>
                <w:i w:val="0"/>
                <w:color w:val="6CC3D3"/>
                <w:sz w:val="21"/>
              </w:rPr>
              <w:t>advice@pclt.co.uk</w:t>
            </w:r>
            <w:r>
              <w:rPr>
                <w:b w:val="0"/>
                <w:i w:val="0"/>
                <w:color w:val="6CC3D3"/>
                <w:sz w:val="21"/>
              </w:rPr>
              <w:t xml:space="preserve">   |   </w:t>
            </w:r>
            <w:r>
              <w:rPr>
                <w:b/>
                <w:i w:val="0"/>
                <w:color w:val="6CC3D3"/>
                <w:sz w:val="21"/>
              </w:rPr>
              <w:t>pclt.co.uk</w:t>
            </w:r>
          </w:p>
        </w:tc>
      </w:tr>
    </w:tbl>
    <w:p>
      <w:pPr>
        <w:spacing w:before="160"/>
      </w:pPr>
      <w:r>
        <w:rPr>
          <w:b w:val="0"/>
          <w:i w:val="0"/>
          <w:color w:val="5F7A8C"/>
          <w:sz w:val="16"/>
        </w:rPr>
        <w:t>From the insight “One month before go-live” at pclt.co.uk/insights/one-month-before-go-live.html. Use it with the one-month countdown checklist. General guidance only; adapt the criteria to your own project and contracts.</w:t>
      </w:r>
    </w:p>
    <w:sectPr w:rsidR="00FC693F" w:rsidRPr="0006063C" w:rsidSect="00034616">
      <w:headerReference w:type="first" r:id="rId9"/>
      <w:headerReference w:type="default" r:id="rId10"/>
      <w:footerReference w:type="first" r:id="rId11"/>
      <w:footerReference w:type="default" r:id="rId12"/>
      <w:pgSz w:w="11906" w:h="16838"/>
      <w:pgMar w:top="1134" w:right="1020" w:bottom="1020" w:left="1020" w:header="0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8" w:space="6" w:color="2A8FA3"/>
      </w:pBdr>
      <w:tabs>
        <w:tab w:pos="9866" w:val="right"/>
      </w:tabs>
    </w:pPr>
    <w:r>
      <w:rPr>
        <w:b/>
        <w:i w:val="0"/>
        <w:color w:val="0B2545"/>
        <w:sz w:val="16"/>
      </w:rPr>
      <w:t>PC Legal Technology</w:t>
    </w:r>
    <w:r>
      <w:rPr>
        <w:b w:val="0"/>
        <w:i w:val="0"/>
        <w:color w:val="5F7A8C"/>
        <w:sz w:val="16"/>
      </w:rPr>
      <w:t xml:space="preserve">  |  Independent legal technology consultancy  |  advice@pclt.co.uk  |  pclt.co.uk</w:t>
      <w:tab/>
      <w:t xml:space="preserve">Page </w:t>
    </w:r>
    <w:r>
      <w:rPr>
        <w:color w:val="5F7A8C"/>
        <w:sz w:val="16"/>
      </w:rPr>
      <w:fldChar w:fldCharType="begin"/>
    </w:r>
    <w:r>
      <w:rPr>
        <w:color w:val="5F7A8C"/>
        <w:sz w:val="16"/>
      </w:rPr>
      <w:instrText xml:space="preserve"> PAGE </w:instrText>
    </w:r>
    <w:r>
      <w:rPr>
        <w:color w:val="5F7A8C"/>
        <w:sz w:val="16"/>
      </w:rPr>
      <w:fldChar w:fldCharType="separate"/>
    </w:r>
    <w:r>
      <w:rPr>
        <w:color w:val="5F7A8C"/>
        <w:sz w:val="16"/>
      </w:rPr>
      <w:t>1</w:t>
    </w:r>
    <w:r>
      <w:rPr>
        <w:color w:val="5F7A8C"/>
        <w:sz w:val="16"/>
      </w:rPr>
      <w:fldChar w:fldCharType="end"/>
    </w:r>
    <w:r>
      <w:rPr>
        <w:b w:val="0"/>
        <w:i w:val="0"/>
        <w:color w:val="5F7A8C"/>
        <w:sz w:val="16"/>
      </w:rPr>
      <w:t xml:space="preserve"> of </w:t>
    </w:r>
    <w:r>
      <w:rPr>
        <w:color w:val="5F7A8C"/>
        <w:sz w:val="16"/>
      </w:rPr>
      <w:fldChar w:fldCharType="begin"/>
    </w:r>
    <w:r>
      <w:rPr>
        <w:color w:val="5F7A8C"/>
        <w:sz w:val="16"/>
      </w:rPr>
      <w:instrText xml:space="preserve"> NUMPAGES </w:instrText>
    </w:r>
    <w:r>
      <w:rPr>
        <w:color w:val="5F7A8C"/>
        <w:sz w:val="16"/>
      </w:rPr>
      <w:fldChar w:fldCharType="separate"/>
    </w:r>
    <w:r>
      <w:rPr>
        <w:color w:val="5F7A8C"/>
        <w:sz w:val="16"/>
      </w:rPr>
      <w:t>1</w:t>
    </w:r>
    <w:r>
      <w:rPr>
        <w:color w:val="5F7A8C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8" w:space="6" w:color="2A8FA3"/>
      </w:pBdr>
      <w:tabs>
        <w:tab w:pos="9866" w:val="right"/>
      </w:tabs>
    </w:pPr>
    <w:r>
      <w:rPr>
        <w:b/>
        <w:i w:val="0"/>
        <w:color w:val="0B2545"/>
        <w:sz w:val="16"/>
      </w:rPr>
      <w:t>PC Legal Technology</w:t>
    </w:r>
    <w:r>
      <w:rPr>
        <w:b w:val="0"/>
        <w:i w:val="0"/>
        <w:color w:val="5F7A8C"/>
        <w:sz w:val="16"/>
      </w:rPr>
      <w:t xml:space="preserve">  |  Independent legal technology consultancy  |  advice@pclt.co.uk  |  pclt.co.uk</w:t>
      <w:tab/>
      <w:t xml:space="preserve">Page </w:t>
    </w:r>
    <w:r>
      <w:rPr>
        <w:color w:val="5F7A8C"/>
        <w:sz w:val="16"/>
      </w:rPr>
      <w:fldChar w:fldCharType="begin"/>
    </w:r>
    <w:r>
      <w:rPr>
        <w:color w:val="5F7A8C"/>
        <w:sz w:val="16"/>
      </w:rPr>
      <w:instrText xml:space="preserve"> PAGE </w:instrText>
    </w:r>
    <w:r>
      <w:rPr>
        <w:color w:val="5F7A8C"/>
        <w:sz w:val="16"/>
      </w:rPr>
      <w:fldChar w:fldCharType="separate"/>
    </w:r>
    <w:r>
      <w:rPr>
        <w:color w:val="5F7A8C"/>
        <w:sz w:val="16"/>
      </w:rPr>
      <w:t>1</w:t>
    </w:r>
    <w:r>
      <w:rPr>
        <w:color w:val="5F7A8C"/>
        <w:sz w:val="16"/>
      </w:rPr>
      <w:fldChar w:fldCharType="end"/>
    </w:r>
    <w:r>
      <w:rPr>
        <w:b w:val="0"/>
        <w:i w:val="0"/>
        <w:color w:val="5F7A8C"/>
        <w:sz w:val="16"/>
      </w:rPr>
      <w:t xml:space="preserve"> of </w:t>
    </w:r>
    <w:r>
      <w:rPr>
        <w:color w:val="5F7A8C"/>
        <w:sz w:val="16"/>
      </w:rPr>
      <w:fldChar w:fldCharType="begin"/>
    </w:r>
    <w:r>
      <w:rPr>
        <w:color w:val="5F7A8C"/>
        <w:sz w:val="16"/>
      </w:rPr>
      <w:instrText xml:space="preserve"> NUMPAGES </w:instrText>
    </w:r>
    <w:r>
      <w:rPr>
        <w:color w:val="5F7A8C"/>
        <w:sz w:val="16"/>
      </w:rPr>
      <w:fldChar w:fldCharType="separate"/>
    </w:r>
    <w:r>
      <w:rPr>
        <w:color w:val="5F7A8C"/>
        <w:sz w:val="16"/>
      </w:rPr>
      <w:t>1</w:t>
    </w:r>
    <w:r>
      <w:rPr>
        <w:color w:val="5F7A8C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020" w:right="-1020"/>
    </w:pPr>
    <w:r>
      <w:drawing>
        <wp:inline xmlns:a="http://schemas.openxmlformats.org/drawingml/2006/main" xmlns:pic="http://schemas.openxmlformats.org/drawingml/2006/picture">
          <wp:extent cx="7560310" cy="100600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oc-header-lar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06009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020" w:right="-1020"/>
    </w:pPr>
    <w:r>
      <w:drawing>
        <wp:inline xmlns:a="http://schemas.openxmlformats.org/drawingml/2006/main" xmlns:pic="http://schemas.openxmlformats.org/drawingml/2006/picture">
          <wp:extent cx="7560310" cy="45727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oc-header-sli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45727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color w:val="3B445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 or no-go decision sheet</dc:title>
  <dc:subject/>
  <dc:creator>PC Legal Technology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