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40"/>
      </w:pPr>
      <w:r>
        <w:rPr>
          <w:b/>
          <w:i w:val="0"/>
          <w:color w:val="237A8B"/>
          <w:sz w:val="18"/>
          <w:spacing w:val="30"/>
        </w:rPr>
        <w:t>INDEPENDENT GUIDANCE FOR LAW FIRMS</w:t>
      </w:r>
    </w:p>
    <w:p>
      <w:pPr>
        <w:spacing w:after="120"/>
      </w:pPr>
      <w:r>
        <w:rPr>
          <w:b/>
          <w:i w:val="0"/>
          <w:color w:val="0B2545"/>
          <w:sz w:val="48"/>
        </w:rPr>
        <w:t>Before you migrate: housekeeping and trial migration checklist</w:t>
      </w:r>
    </w:p>
    <w:p>
      <w:pPr>
        <w:spacing w:after="200"/>
      </w:pPr>
      <w:r>
        <w:rPr>
          <w:b w:val="0"/>
          <w:i w:val="0"/>
          <w:color w:val="3B4452"/>
          <w:sz w:val="21"/>
        </w:rPr>
        <w:t>A checklist for law firms moving to a new practice management system, from planning and housekeeping through each trial migration to the final run. Whatever is open, half-finished or unexplained in the old system arrives that way in the new one, so start early and sign off every stage on evidence. Lead shows who usually drives each item; the firm signs off everything. Adapt it to your project.</w:t>
      </w:r>
    </w:p>
    <w:tbl>
      <w:tblPr>
        <w:tblW w:type="auto" w:w="0"/>
        <w:tblLook w:firstColumn="1" w:firstRow="1" w:lastColumn="0" w:lastRow="0" w:noHBand="0" w:noVBand="1" w:val="04A0"/>
        <w:tblBorders>
          <w:top w:val="single" w:sz="4" w:color="DDE5EB"/>
          <w:left w:val="single" w:sz="4" w:color="DDE5EB"/>
          <w:bottom w:val="single" w:sz="4" w:color="DDE5EB"/>
          <w:right w:val="single" w:sz="4" w:color="DDE5EB"/>
          <w:insideH w:val="single" w:sz="4" w:color="DDE5EB"/>
          <w:insideV w:val="single" w:sz="4" w:color="DDE5EB"/>
        </w:tblBorders>
        <w:tblCellMar>
          <w:top w:w="80" w:type="dxa"/>
          <w:bottom w:w="80" w:type="dxa"/>
          <w:left w:w="120" w:type="dxa"/>
          <w:right w:w="120" w:type="dxa"/>
        </w:tblCellMar>
      </w:tblPr>
      <w:tblGrid>
        <w:gridCol w:w="3289"/>
        <w:gridCol w:w="3289"/>
        <w:gridCol w:w="3289"/>
      </w:tblGrid>
      <w:tr>
        <w:tc>
          <w:tcPr>
            <w:tcW w:type="dxa" w:w="3289"/>
            <w:shd w:val="clear" w:color="auto" w:fill="F4F7F9"/>
          </w:tcPr>
          <w:p>
            <w:r>
              <w:rPr>
                <w:b/>
                <w:i w:val="0"/>
                <w:color w:val="237A8B"/>
                <w:sz w:val="16"/>
                <w:spacing w:val="20"/>
              </w:rPr>
              <w:t>PROJECT</w:t>
            </w:r>
          </w:p>
        </w:tc>
        <w:tc>
          <w:tcPr>
            <w:tcW w:type="dxa" w:w="3289"/>
            <w:shd w:val="clear" w:color="auto" w:fill="F4F7F9"/>
          </w:tcPr>
          <w:p>
            <w:r>
              <w:rPr>
                <w:b/>
                <w:i w:val="0"/>
                <w:color w:val="237A8B"/>
                <w:sz w:val="16"/>
                <w:spacing w:val="20"/>
              </w:rPr>
              <w:t>TRIAL MIGRATION 1 DATE</w:t>
            </w:r>
          </w:p>
        </w:tc>
        <w:tc>
          <w:tcPr>
            <w:tcW w:type="dxa" w:w="3289"/>
            <w:shd w:val="clear" w:color="auto" w:fill="F4F7F9"/>
          </w:tcPr>
          <w:p>
            <w:r>
              <w:rPr>
                <w:b/>
                <w:i w:val="0"/>
                <w:color w:val="237A8B"/>
                <w:sz w:val="16"/>
                <w:spacing w:val="20"/>
              </w:rPr>
              <w:t>MIGRATION OWNER</w:t>
            </w:r>
          </w:p>
        </w:tc>
      </w:tr>
      <w:tr>
        <w:tc>
          <w:tcPr>
            <w:tcW w:type="dxa" w:w="3289"/>
            <w:shd w:val="clear" w:color="auto" w:fill="F4F7F9"/>
          </w:tcPr>
          <w:p>
            <w:r>
              <w:rPr>
                <w:b w:val="0"/>
                <w:i w:val="0"/>
                <w:sz w:val="22"/>
              </w:rPr>
              <w:t xml:space="preserve"> </w:t>
            </w:r>
          </w:p>
        </w:tc>
        <w:tc>
          <w:tcPr>
            <w:tcW w:type="dxa" w:w="3289"/>
            <w:shd w:val="clear" w:color="auto" w:fill="F4F7F9"/>
          </w:tcPr>
          <w:p>
            <w:r>
              <w:rPr>
                <w:b w:val="0"/>
                <w:i w:val="0"/>
                <w:sz w:val="22"/>
              </w:rPr>
              <w:t xml:space="preserve"> </w:t>
            </w:r>
          </w:p>
        </w:tc>
        <w:tc>
          <w:tcPr>
            <w:tcW w:type="dxa" w:w="3289"/>
            <w:shd w:val="clear" w:color="auto" w:fill="F4F7F9"/>
          </w:tcPr>
          <w:p>
            <w:r>
              <w:rPr>
                <w:b w:val="0"/>
                <w:i w:val="0"/>
                <w:sz w:val="22"/>
              </w:rPr>
              <w:t xml:space="preserve"> </w:t>
            </w:r>
          </w:p>
        </w:tc>
      </w:tr>
    </w:tbl>
    <w:p>
      <w:pPr>
        <w:spacing w:before="80" w:after="40"/>
      </w:pPr>
      <w:r>
        <w:rPr>
          <w:b/>
          <w:i w:val="0"/>
          <w:color w:val="0B2545"/>
          <w:sz w:val="17"/>
        </w:rPr>
        <w:t xml:space="preserve">Lead:  </w:t>
      </w:r>
      <w:r>
        <w:rPr>
          <w:b/>
          <w:i w:val="0"/>
          <w:color w:val="0B2545"/>
          <w:sz w:val="17"/>
        </w:rPr>
        <w:t>Firm</w:t>
      </w:r>
      <w:r>
        <w:rPr>
          <w:b w:val="0"/>
          <w:i w:val="0"/>
          <w:color w:val="5F7A8C"/>
          <w:sz w:val="17"/>
        </w:rPr>
        <w:t xml:space="preserve">  ·  </w:t>
      </w:r>
      <w:r>
        <w:rPr>
          <w:b/>
          <w:i w:val="0"/>
          <w:color w:val="5F7A8C"/>
          <w:sz w:val="17"/>
        </w:rPr>
        <w:t>Vendor</w:t>
      </w:r>
      <w:r>
        <w:rPr>
          <w:b w:val="0"/>
          <w:i w:val="0"/>
          <w:color w:val="5F7A8C"/>
          <w:sz w:val="17"/>
        </w:rPr>
        <w:t xml:space="preserve">  ·  </w:t>
      </w:r>
      <w:r>
        <w:rPr>
          <w:b/>
          <w:i w:val="0"/>
          <w:color w:val="237A8B"/>
          <w:sz w:val="17"/>
        </w:rPr>
        <w:t>Both</w:t>
      </w:r>
      <w:r>
        <w:rPr>
          <w:b w:val="0"/>
          <w:i/>
          <w:color w:val="5F7A8C"/>
          <w:sz w:val="17"/>
        </w:rPr>
        <w:t xml:space="preserve">   (who usually drives each item; the firm signs off everything)</w:t>
      </w:r>
    </w:p>
    <w:p>
      <w:pPr>
        <w:keepNext/>
        <w:spacing w:before="280" w:after="0"/>
      </w:pPr>
      <w:r>
        <w:rPr>
          <w:b/>
          <w:i w:val="0"/>
          <w:color w:val="237A8B"/>
          <w:sz w:val="17"/>
          <w:spacing w:val="30"/>
        </w:rPr>
        <w:t>START EARLY</w:t>
      </w:r>
    </w:p>
    <w:p>
      <w:pPr>
        <w:keepNext/>
        <w:spacing w:after="20"/>
      </w:pPr>
      <w:r>
        <w:rPr>
          <w:b/>
          <w:i w:val="0"/>
          <w:color w:val="0B2545"/>
          <w:sz w:val="28"/>
        </w:rPr>
        <w:t>Plan the migration</w:t>
      </w:r>
    </w:p>
    <w:p>
      <w:pPr>
        <w:keepNext/>
        <w:spacing w:after="100"/>
      </w:pPr>
      <w:r>
        <w:rPr>
          <w:b w:val="0"/>
          <w:i/>
          <w:color w:val="5F7A8C"/>
          <w:sz w:val="19"/>
        </w:rPr>
        <w:t>Six to eight weeks before the first trial migration.</w:t>
      </w:r>
    </w:p>
    <w:tbl>
      <w:tblPr>
        <w:tblW w:type="auto" w:w="0"/>
        <w:jc w:val="center"/>
        <w:tblLook w:firstColumn="1" w:firstRow="1" w:lastColumn="0" w:lastRow="0" w:noHBand="0" w:noVBand="1" w:val="04A0"/>
        <w:tblBorders>
          <w:top w:val="single" w:sz="4" w:color="DDE5EB"/>
          <w:left w:val="single" w:sz="4" w:color="DDE5EB"/>
          <w:bottom w:val="single" w:sz="4" w:color="DDE5EB"/>
          <w:right w:val="single" w:sz="4" w:color="DDE5EB"/>
          <w:insideH w:val="single" w:sz="4" w:color="DDE5EB"/>
          <w:insideV w:val="single" w:sz="4" w:color="DDE5EB"/>
        </w:tblBorders>
        <w:tblCellMar>
          <w:top w:w="60" w:type="dxa"/>
          <w:bottom w:w="60" w:type="dxa"/>
          <w:left w:w="100" w:type="dxa"/>
          <w:right w:w="100" w:type="dxa"/>
        </w:tblCellMar>
      </w:tblPr>
      <w:tblGrid>
        <w:gridCol w:w="1973"/>
        <w:gridCol w:w="1973"/>
        <w:gridCol w:w="1973"/>
        <w:gridCol w:w="1973"/>
        <w:gridCol w:w="1973"/>
      </w:tblGrid>
      <w:tr>
        <w:trPr>
          <w:tblHeader w:val="true"/>
          <w:cantSplit w:val="true"/>
        </w:trPr>
        <w:tc>
          <w:tcPr>
            <w:tcW w:type="dxa" w:w="624"/>
            <w:shd w:val="clear" w:color="auto" w:fill="0B2545"/>
            <w:vAlign w:val="center"/>
          </w:tcPr>
          <w:p>
            <w:pPr>
              <w:keepNext/>
              <w:spacing w:after="0"/>
            </w:pPr>
            <w:r>
              <w:rPr>
                <w:b/>
                <w:i w:val="0"/>
                <w:color w:val="FFFFFF"/>
                <w:sz w:val="18"/>
              </w:rPr>
              <w:t>Done</w:t>
            </w:r>
          </w:p>
        </w:tc>
        <w:tc>
          <w:tcPr>
            <w:tcW w:type="dxa" w:w="5669"/>
            <w:shd w:val="clear" w:color="auto" w:fill="0B2545"/>
            <w:vAlign w:val="center"/>
          </w:tcPr>
          <w:p>
            <w:pPr>
              <w:keepNext/>
              <w:spacing w:after="0"/>
            </w:pPr>
            <w:r>
              <w:rPr>
                <w:b/>
                <w:i w:val="0"/>
                <w:color w:val="FFFFFF"/>
                <w:sz w:val="18"/>
              </w:rPr>
              <w:t>Item</w:t>
            </w:r>
          </w:p>
        </w:tc>
        <w:tc>
          <w:tcPr>
            <w:tcW w:type="dxa" w:w="907"/>
            <w:shd w:val="clear" w:color="auto" w:fill="0B2545"/>
            <w:vAlign w:val="center"/>
          </w:tcPr>
          <w:p>
            <w:pPr>
              <w:keepNext/>
              <w:spacing w:after="0"/>
            </w:pPr>
            <w:r>
              <w:rPr>
                <w:b/>
                <w:i w:val="0"/>
                <w:color w:val="FFFFFF"/>
                <w:sz w:val="18"/>
              </w:rPr>
              <w:t>Lead</w:t>
            </w:r>
          </w:p>
        </w:tc>
        <w:tc>
          <w:tcPr>
            <w:tcW w:type="dxa" w:w="1531"/>
            <w:shd w:val="clear" w:color="auto" w:fill="0B2545"/>
            <w:vAlign w:val="center"/>
          </w:tcPr>
          <w:p>
            <w:pPr>
              <w:keepNext/>
              <w:spacing w:after="0"/>
            </w:pPr>
            <w:r>
              <w:rPr>
                <w:b/>
                <w:i w:val="0"/>
                <w:color w:val="FFFFFF"/>
                <w:sz w:val="18"/>
              </w:rPr>
              <w:t>Owner</w:t>
            </w:r>
          </w:p>
        </w:tc>
        <w:tc>
          <w:tcPr>
            <w:tcW w:type="dxa" w:w="1134"/>
            <w:shd w:val="clear" w:color="auto" w:fill="0B2545"/>
            <w:vAlign w:val="center"/>
          </w:tcPr>
          <w:p>
            <w:pPr>
              <w:keepNext/>
              <w:spacing w:after="0"/>
            </w:pPr>
            <w:r>
              <w:rPr>
                <w:b/>
                <w:i w:val="0"/>
                <w:color w:val="FFFFFF"/>
                <w:sz w:val="18"/>
              </w:rPr>
              <w:t>Due</w:t>
            </w:r>
          </w:p>
        </w:tc>
      </w:tr>
      <w:tr>
        <w:trPr>
          <w:cantSplit w:val="true"/>
        </w:trPr>
        <w:tc>
          <w:tcPr>
            <w:tcW w:type="dxa" w:w="624"/>
            <w:vAlign w:val="center"/>
          </w:tcPr>
          <w:p>
            <w:pPr>
              <w:keepNext/>
              <w:spacing w:after="0"/>
              <w:jc w:val="center"/>
            </w:pPr>
            <w:r>
              <w:rPr>
                <w:b w:val="0"/>
                <w:i w:val="0"/>
                <w:color w:val="237A8B"/>
                <w:sz w:val="24"/>
              </w:rPr>
              <w:t>☐</w:t>
            </w:r>
          </w:p>
        </w:tc>
        <w:tc>
          <w:tcPr>
            <w:tcW w:type="dxa" w:w="5669"/>
            <w:vAlign w:val="center"/>
          </w:tcPr>
          <w:p>
            <w:pPr>
              <w:keepNext/>
              <w:spacing w:after="0"/>
            </w:pPr>
            <w:r>
              <w:rPr>
                <w:b w:val="0"/>
                <w:i w:val="0"/>
                <w:color w:val="3B4452"/>
                <w:sz w:val="19"/>
              </w:rPr>
              <w:t>Migration approach agreed in writing: full history or opening balances, and where historic data will be kept</w:t>
            </w:r>
          </w:p>
        </w:tc>
        <w:tc>
          <w:tcPr>
            <w:tcW w:type="dxa" w:w="907"/>
            <w:vAlign w:val="center"/>
          </w:tcPr>
          <w:p>
            <w:pPr>
              <w:keepNext/>
              <w:spacing w:after="0"/>
            </w:pPr>
            <w:r>
              <w:rPr>
                <w:b/>
                <w:i w:val="0"/>
                <w:color w:val="237A8B"/>
                <w:sz w:val="18"/>
              </w:rPr>
              <w:t>Both</w:t>
            </w:r>
          </w:p>
        </w:tc>
        <w:tc>
          <w:tcPr>
            <w:tcW w:type="dxa" w:w="1531"/>
            <w:vAlign w:val="center"/>
          </w:tcPr>
          <w:p>
            <w:pPr>
              <w:keepNext/>
              <w:spacing w:after="0"/>
            </w:pPr>
          </w:p>
        </w:tc>
        <w:tc>
          <w:tcPr>
            <w:tcW w:type="dxa" w:w="1134"/>
            <w:vAlign w:val="center"/>
          </w:tcPr>
          <w:p>
            <w:pPr>
              <w:keepNext/>
              <w:spacing w:after="0"/>
            </w:pPr>
          </w:p>
        </w:tc>
      </w:tr>
      <w:tr>
        <w:trPr>
          <w:cantSplit w:val="true"/>
        </w:trPr>
        <w:tc>
          <w:tcPr>
            <w:tcW w:type="dxa" w:w="624"/>
            <w:shd w:val="clear" w:color="auto" w:fill="F4F7F9"/>
            <w:vAlign w:val="center"/>
          </w:tcPr>
          <w:p>
            <w:pPr>
              <w:keepNext/>
              <w:spacing w:after="0"/>
              <w:jc w:val="center"/>
            </w:pPr>
            <w:r>
              <w:rPr>
                <w:b w:val="0"/>
                <w:i w:val="0"/>
                <w:color w:val="237A8B"/>
                <w:sz w:val="24"/>
              </w:rPr>
              <w:t>☐</w:t>
            </w:r>
          </w:p>
        </w:tc>
        <w:tc>
          <w:tcPr>
            <w:tcW w:type="dxa" w:w="5669"/>
            <w:shd w:val="clear" w:color="auto" w:fill="F4F7F9"/>
            <w:vAlign w:val="center"/>
          </w:tcPr>
          <w:p>
            <w:pPr>
              <w:keepNext/>
              <w:spacing w:after="0"/>
            </w:pPr>
            <w:r>
              <w:rPr>
                <w:b w:val="0"/>
                <w:i w:val="0"/>
                <w:color w:val="3B4452"/>
                <w:sz w:val="19"/>
              </w:rPr>
              <w:t>Scope agreed for each trial: the accounts in the first; the accounts again plus agreed custom data and documents in the second</w:t>
            </w:r>
          </w:p>
        </w:tc>
        <w:tc>
          <w:tcPr>
            <w:tcW w:type="dxa" w:w="907"/>
            <w:shd w:val="clear" w:color="auto" w:fill="F4F7F9"/>
            <w:vAlign w:val="center"/>
          </w:tcPr>
          <w:p>
            <w:pPr>
              <w:keepNext/>
              <w:spacing w:after="0"/>
            </w:pPr>
            <w:r>
              <w:rPr>
                <w:b/>
                <w:i w:val="0"/>
                <w:color w:val="237A8B"/>
                <w:sz w:val="18"/>
              </w:rPr>
              <w:t>Both</w:t>
            </w:r>
          </w:p>
        </w:tc>
        <w:tc>
          <w:tcPr>
            <w:tcW w:type="dxa" w:w="1531"/>
            <w:shd w:val="clear" w:color="auto" w:fill="F4F7F9"/>
            <w:vAlign w:val="center"/>
          </w:tcPr>
          <w:p>
            <w:pPr>
              <w:keepNext/>
              <w:spacing w:after="0"/>
            </w:pPr>
          </w:p>
        </w:tc>
        <w:tc>
          <w:tcPr>
            <w:tcW w:type="dxa" w:w="1134"/>
            <w:shd w:val="clear" w:color="auto" w:fill="F4F7F9"/>
            <w:vAlign w:val="center"/>
          </w:tcPr>
          <w:p>
            <w:pPr>
              <w:keepNext/>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A migration owner named on the firm’s side, with the time to do it; the COFA involved from the start</w:t>
            </w:r>
          </w:p>
        </w:tc>
        <w:tc>
          <w:tcPr>
            <w:tcW w:type="dxa" w:w="907"/>
            <w:vAlign w:val="center"/>
          </w:tcPr>
          <w:p>
            <w:pPr>
              <w:spacing w:after="0"/>
            </w:pPr>
            <w:r>
              <w:rPr>
                <w:b/>
                <w:i w:val="0"/>
                <w:color w:val="0B2545"/>
                <w:sz w:val="18"/>
              </w:rPr>
              <w:t>Firm</w:t>
            </w:r>
          </w:p>
        </w:tc>
        <w:tc>
          <w:tcPr>
            <w:tcW w:type="dxa" w:w="1531"/>
            <w:vAlign w:val="center"/>
          </w:tcPr>
          <w:p>
            <w:pPr>
              <w:spacing w:after="0"/>
            </w:pPr>
          </w:p>
        </w:tc>
        <w:tc>
          <w:tcPr>
            <w:tcW w:type="dxa" w:w="1134"/>
            <w:vAlign w:val="center"/>
          </w:tcPr>
          <w:p>
            <w:pPr>
              <w:spacing w:after="0"/>
            </w:pPr>
          </w:p>
        </w:tc>
      </w:tr>
      <w:tr>
        <w:trPr>
          <w:cantSplit w:val="true"/>
        </w:trPr>
        <w:tc>
          <w:tcPr>
            <w:tcW w:type="dxa" w:w="624"/>
            <w:shd w:val="clear" w:color="auto" w:fill="F4F7F9"/>
            <w:vAlign w:val="center"/>
          </w:tcPr>
          <w:p>
            <w:pPr>
              <w:spacing w:after="0"/>
              <w:jc w:val="center"/>
            </w:pPr>
            <w:r>
              <w:rPr>
                <w:b w:val="0"/>
                <w:i w:val="0"/>
                <w:color w:val="237A8B"/>
                <w:sz w:val="24"/>
              </w:rPr>
              <w:t>☐</w:t>
            </w:r>
          </w:p>
        </w:tc>
        <w:tc>
          <w:tcPr>
            <w:tcW w:type="dxa" w:w="5669"/>
            <w:shd w:val="clear" w:color="auto" w:fill="F4F7F9"/>
            <w:vAlign w:val="center"/>
          </w:tcPr>
          <w:p>
            <w:pPr>
              <w:spacing w:after="0"/>
            </w:pPr>
            <w:r>
              <w:rPr>
                <w:b w:val="0"/>
                <w:i w:val="0"/>
                <w:color w:val="3B4452"/>
                <w:sz w:val="19"/>
              </w:rPr>
              <w:t>Data extract requested from the current supplier: format, timing and any cost agreed</w:t>
            </w:r>
          </w:p>
        </w:tc>
        <w:tc>
          <w:tcPr>
            <w:tcW w:type="dxa" w:w="907"/>
            <w:shd w:val="clear" w:color="auto" w:fill="F4F7F9"/>
            <w:vAlign w:val="center"/>
          </w:tcPr>
          <w:p>
            <w:pPr>
              <w:spacing w:after="0"/>
            </w:pPr>
            <w:r>
              <w:rPr>
                <w:b/>
                <w:i w:val="0"/>
                <w:color w:val="0B2545"/>
                <w:sz w:val="18"/>
              </w:rPr>
              <w:t>Firm</w:t>
            </w:r>
          </w:p>
        </w:tc>
        <w:tc>
          <w:tcPr>
            <w:tcW w:type="dxa" w:w="1531"/>
            <w:shd w:val="clear" w:color="auto" w:fill="F4F7F9"/>
            <w:vAlign w:val="center"/>
          </w:tcPr>
          <w:p>
            <w:pPr>
              <w:spacing w:after="0"/>
            </w:pPr>
          </w:p>
        </w:tc>
        <w:tc>
          <w:tcPr>
            <w:tcW w:type="dxa" w:w="1134"/>
            <w:shd w:val="clear" w:color="auto" w:fill="F4F7F9"/>
            <w:vAlign w:val="center"/>
          </w:tcPr>
          <w:p>
            <w:pPr>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Reports to save at each trial cut-off date agreed</w:t>
            </w:r>
          </w:p>
        </w:tc>
        <w:tc>
          <w:tcPr>
            <w:tcW w:type="dxa" w:w="907"/>
            <w:vAlign w:val="center"/>
          </w:tcPr>
          <w:p>
            <w:pPr>
              <w:spacing w:after="0"/>
            </w:pPr>
            <w:r>
              <w:rPr>
                <w:b/>
                <w:i w:val="0"/>
                <w:color w:val="237A8B"/>
                <w:sz w:val="18"/>
              </w:rPr>
              <w:t>Both</w:t>
            </w:r>
          </w:p>
        </w:tc>
        <w:tc>
          <w:tcPr>
            <w:tcW w:type="dxa" w:w="1531"/>
            <w:vAlign w:val="center"/>
          </w:tcPr>
          <w:p>
            <w:pPr>
              <w:spacing w:after="0"/>
            </w:pPr>
          </w:p>
        </w:tc>
        <w:tc>
          <w:tcPr>
            <w:tcW w:type="dxa" w:w="1134"/>
            <w:vAlign w:val="center"/>
          </w:tcPr>
          <w:p>
            <w:pPr>
              <w:spacing w:after="0"/>
            </w:pPr>
          </w:p>
        </w:tc>
      </w:tr>
      <w:tr>
        <w:trPr>
          <w:cantSplit w:val="true"/>
        </w:trPr>
        <w:tc>
          <w:tcPr>
            <w:tcW w:type="dxa" w:w="624"/>
            <w:shd w:val="clear" w:color="auto" w:fill="F4F7F9"/>
            <w:vAlign w:val="center"/>
          </w:tcPr>
          <w:p>
            <w:pPr>
              <w:spacing w:after="0"/>
              <w:jc w:val="center"/>
            </w:pPr>
            <w:r>
              <w:rPr>
                <w:b w:val="0"/>
                <w:i w:val="0"/>
                <w:color w:val="237A8B"/>
                <w:sz w:val="24"/>
              </w:rPr>
              <w:t>☐</w:t>
            </w:r>
          </w:p>
        </w:tc>
        <w:tc>
          <w:tcPr>
            <w:tcW w:type="dxa" w:w="5669"/>
            <w:shd w:val="clear" w:color="auto" w:fill="F4F7F9"/>
            <w:vAlign w:val="center"/>
          </w:tcPr>
          <w:p>
            <w:pPr>
              <w:spacing w:after="0"/>
            </w:pPr>
            <w:r>
              <w:rPr>
                <w:b w:val="0"/>
                <w:i w:val="0"/>
                <w:color w:val="3B4452"/>
                <w:sz w:val="19"/>
              </w:rPr>
              <w:t>Shared issue log set up: an owner, a decision and a retest for every problem</w:t>
            </w:r>
          </w:p>
        </w:tc>
        <w:tc>
          <w:tcPr>
            <w:tcW w:type="dxa" w:w="907"/>
            <w:shd w:val="clear" w:color="auto" w:fill="F4F7F9"/>
            <w:vAlign w:val="center"/>
          </w:tcPr>
          <w:p>
            <w:pPr>
              <w:spacing w:after="0"/>
            </w:pPr>
            <w:r>
              <w:rPr>
                <w:b/>
                <w:i w:val="0"/>
                <w:color w:val="237A8B"/>
                <w:sz w:val="18"/>
              </w:rPr>
              <w:t>Both</w:t>
            </w:r>
          </w:p>
        </w:tc>
        <w:tc>
          <w:tcPr>
            <w:tcW w:type="dxa" w:w="1531"/>
            <w:shd w:val="clear" w:color="auto" w:fill="F4F7F9"/>
            <w:vAlign w:val="center"/>
          </w:tcPr>
          <w:p>
            <w:pPr>
              <w:spacing w:after="0"/>
            </w:pPr>
          </w:p>
        </w:tc>
        <w:tc>
          <w:tcPr>
            <w:tcW w:type="dxa" w:w="1134"/>
            <w:shd w:val="clear" w:color="auto" w:fill="F4F7F9"/>
            <w:vAlign w:val="center"/>
          </w:tcPr>
          <w:p>
            <w:pPr>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Decisions on data (how records are split, how balances are treated) logged, with an agreed turnaround</w:t>
            </w:r>
          </w:p>
        </w:tc>
        <w:tc>
          <w:tcPr>
            <w:tcW w:type="dxa" w:w="907"/>
            <w:vAlign w:val="center"/>
          </w:tcPr>
          <w:p>
            <w:pPr>
              <w:spacing w:after="0"/>
            </w:pPr>
            <w:r>
              <w:rPr>
                <w:b/>
                <w:i w:val="0"/>
                <w:color w:val="237A8B"/>
                <w:sz w:val="18"/>
              </w:rPr>
              <w:t>Both</w:t>
            </w:r>
          </w:p>
        </w:tc>
        <w:tc>
          <w:tcPr>
            <w:tcW w:type="dxa" w:w="1531"/>
            <w:vAlign w:val="center"/>
          </w:tcPr>
          <w:p>
            <w:pPr>
              <w:spacing w:after="0"/>
            </w:pPr>
          </w:p>
        </w:tc>
        <w:tc>
          <w:tcPr>
            <w:tcW w:type="dxa" w:w="1134"/>
            <w:vAlign w:val="center"/>
          </w:tcPr>
          <w:p>
            <w:pPr>
              <w:spacing w:after="0"/>
            </w:pPr>
          </w:p>
        </w:tc>
      </w:tr>
    </w:tbl>
    <w:p>
      <w:pPr>
        <w:keepNext/>
        <w:spacing w:before="280" w:after="0"/>
      </w:pPr>
      <w:r>
        <w:rPr>
          <w:b/>
          <w:i w:val="0"/>
          <w:color w:val="237A8B"/>
          <w:sz w:val="17"/>
          <w:spacing w:val="30"/>
        </w:rPr>
        <w:t>HOUSEKEEPING  ·  1</w:t>
      </w:r>
    </w:p>
    <w:p>
      <w:pPr>
        <w:keepNext/>
        <w:spacing w:after="20"/>
      </w:pPr>
      <w:r>
        <w:rPr>
          <w:b/>
          <w:i w:val="0"/>
          <w:color w:val="0B2545"/>
          <w:sz w:val="28"/>
        </w:rPr>
        <w:t>Client and office account</w:t>
      </w:r>
    </w:p>
    <w:p>
      <w:pPr>
        <w:keepNext/>
        <w:spacing w:after="100"/>
      </w:pPr>
      <w:r>
        <w:rPr>
          <w:b w:val="0"/>
          <w:i/>
          <w:color w:val="5F7A8C"/>
          <w:sz w:val="19"/>
        </w:rPr>
        <w:t>Everything reconciled and explained before the data is taken.</w:t>
      </w:r>
    </w:p>
    <w:tbl>
      <w:tblPr>
        <w:tblW w:type="auto" w:w="0"/>
        <w:jc w:val="center"/>
        <w:tblLook w:firstColumn="1" w:firstRow="1" w:lastColumn="0" w:lastRow="0" w:noHBand="0" w:noVBand="1" w:val="04A0"/>
        <w:tblBorders>
          <w:top w:val="single" w:sz="4" w:color="DDE5EB"/>
          <w:left w:val="single" w:sz="4" w:color="DDE5EB"/>
          <w:bottom w:val="single" w:sz="4" w:color="DDE5EB"/>
          <w:right w:val="single" w:sz="4" w:color="DDE5EB"/>
          <w:insideH w:val="single" w:sz="4" w:color="DDE5EB"/>
          <w:insideV w:val="single" w:sz="4" w:color="DDE5EB"/>
        </w:tblBorders>
        <w:tblCellMar>
          <w:top w:w="60" w:type="dxa"/>
          <w:bottom w:w="60" w:type="dxa"/>
          <w:left w:w="100" w:type="dxa"/>
          <w:right w:w="100" w:type="dxa"/>
        </w:tblCellMar>
      </w:tblPr>
      <w:tblGrid>
        <w:gridCol w:w="1973"/>
        <w:gridCol w:w="1973"/>
        <w:gridCol w:w="1973"/>
        <w:gridCol w:w="1973"/>
        <w:gridCol w:w="1973"/>
      </w:tblGrid>
      <w:tr>
        <w:trPr>
          <w:tblHeader w:val="true"/>
          <w:cantSplit w:val="true"/>
        </w:trPr>
        <w:tc>
          <w:tcPr>
            <w:tcW w:type="dxa" w:w="624"/>
            <w:shd w:val="clear" w:color="auto" w:fill="0B2545"/>
            <w:vAlign w:val="center"/>
          </w:tcPr>
          <w:p>
            <w:pPr>
              <w:keepNext/>
              <w:spacing w:after="0"/>
            </w:pPr>
            <w:r>
              <w:rPr>
                <w:b/>
                <w:i w:val="0"/>
                <w:color w:val="FFFFFF"/>
                <w:sz w:val="18"/>
              </w:rPr>
              <w:t>Done</w:t>
            </w:r>
          </w:p>
        </w:tc>
        <w:tc>
          <w:tcPr>
            <w:tcW w:type="dxa" w:w="5669"/>
            <w:shd w:val="clear" w:color="auto" w:fill="0B2545"/>
            <w:vAlign w:val="center"/>
          </w:tcPr>
          <w:p>
            <w:pPr>
              <w:keepNext/>
              <w:spacing w:after="0"/>
            </w:pPr>
            <w:r>
              <w:rPr>
                <w:b/>
                <w:i w:val="0"/>
                <w:color w:val="FFFFFF"/>
                <w:sz w:val="18"/>
              </w:rPr>
              <w:t>Item</w:t>
            </w:r>
          </w:p>
        </w:tc>
        <w:tc>
          <w:tcPr>
            <w:tcW w:type="dxa" w:w="907"/>
            <w:shd w:val="clear" w:color="auto" w:fill="0B2545"/>
            <w:vAlign w:val="center"/>
          </w:tcPr>
          <w:p>
            <w:pPr>
              <w:keepNext/>
              <w:spacing w:after="0"/>
            </w:pPr>
            <w:r>
              <w:rPr>
                <w:b/>
                <w:i w:val="0"/>
                <w:color w:val="FFFFFF"/>
                <w:sz w:val="18"/>
              </w:rPr>
              <w:t>Lead</w:t>
            </w:r>
          </w:p>
        </w:tc>
        <w:tc>
          <w:tcPr>
            <w:tcW w:type="dxa" w:w="1531"/>
            <w:shd w:val="clear" w:color="auto" w:fill="0B2545"/>
            <w:vAlign w:val="center"/>
          </w:tcPr>
          <w:p>
            <w:pPr>
              <w:keepNext/>
              <w:spacing w:after="0"/>
            </w:pPr>
            <w:r>
              <w:rPr>
                <w:b/>
                <w:i w:val="0"/>
                <w:color w:val="FFFFFF"/>
                <w:sz w:val="18"/>
              </w:rPr>
              <w:t>Owner</w:t>
            </w:r>
          </w:p>
        </w:tc>
        <w:tc>
          <w:tcPr>
            <w:tcW w:type="dxa" w:w="1134"/>
            <w:shd w:val="clear" w:color="auto" w:fill="0B2545"/>
            <w:vAlign w:val="center"/>
          </w:tcPr>
          <w:p>
            <w:pPr>
              <w:keepNext/>
              <w:spacing w:after="0"/>
            </w:pPr>
            <w:r>
              <w:rPr>
                <w:b/>
                <w:i w:val="0"/>
                <w:color w:val="FFFFFF"/>
                <w:sz w:val="18"/>
              </w:rPr>
              <w:t>Due</w:t>
            </w:r>
          </w:p>
        </w:tc>
      </w:tr>
      <w:tr>
        <w:trPr>
          <w:cantSplit w:val="true"/>
        </w:trPr>
        <w:tc>
          <w:tcPr>
            <w:tcW w:type="dxa" w:w="624"/>
            <w:vAlign w:val="center"/>
          </w:tcPr>
          <w:p>
            <w:pPr>
              <w:keepNext/>
              <w:spacing w:after="0"/>
              <w:jc w:val="center"/>
            </w:pPr>
            <w:r>
              <w:rPr>
                <w:b w:val="0"/>
                <w:i w:val="0"/>
                <w:color w:val="237A8B"/>
                <w:sz w:val="24"/>
              </w:rPr>
              <w:t>☐</w:t>
            </w:r>
          </w:p>
        </w:tc>
        <w:tc>
          <w:tcPr>
            <w:tcW w:type="dxa" w:w="5669"/>
            <w:vAlign w:val="center"/>
          </w:tcPr>
          <w:p>
            <w:pPr>
              <w:keepNext/>
              <w:spacing w:after="0"/>
            </w:pPr>
            <w:r>
              <w:rPr>
                <w:b w:val="0"/>
                <w:i w:val="0"/>
                <w:color w:val="3B4452"/>
                <w:sz w:val="19"/>
              </w:rPr>
              <w:t>Every office and client bank account reconciled, with as few outstanding items as possible</w:t>
            </w:r>
          </w:p>
        </w:tc>
        <w:tc>
          <w:tcPr>
            <w:tcW w:type="dxa" w:w="907"/>
            <w:vAlign w:val="center"/>
          </w:tcPr>
          <w:p>
            <w:pPr>
              <w:keepNext/>
              <w:spacing w:after="0"/>
            </w:pPr>
            <w:r>
              <w:rPr>
                <w:b/>
                <w:i w:val="0"/>
                <w:color w:val="0B2545"/>
                <w:sz w:val="18"/>
              </w:rPr>
              <w:t>Firm</w:t>
            </w:r>
          </w:p>
        </w:tc>
        <w:tc>
          <w:tcPr>
            <w:tcW w:type="dxa" w:w="1531"/>
            <w:vAlign w:val="center"/>
          </w:tcPr>
          <w:p>
            <w:pPr>
              <w:keepNext/>
              <w:spacing w:after="0"/>
            </w:pPr>
          </w:p>
        </w:tc>
        <w:tc>
          <w:tcPr>
            <w:tcW w:type="dxa" w:w="1134"/>
            <w:vAlign w:val="center"/>
          </w:tcPr>
          <w:p>
            <w:pPr>
              <w:keepNext/>
              <w:spacing w:after="0"/>
            </w:pPr>
          </w:p>
        </w:tc>
      </w:tr>
      <w:tr>
        <w:trPr>
          <w:cantSplit w:val="true"/>
        </w:trPr>
        <w:tc>
          <w:tcPr>
            <w:tcW w:type="dxa" w:w="624"/>
            <w:shd w:val="clear" w:color="auto" w:fill="F4F7F9"/>
            <w:vAlign w:val="center"/>
          </w:tcPr>
          <w:p>
            <w:pPr>
              <w:keepNext/>
              <w:spacing w:after="0"/>
              <w:jc w:val="center"/>
            </w:pPr>
            <w:r>
              <w:rPr>
                <w:b w:val="0"/>
                <w:i w:val="0"/>
                <w:color w:val="237A8B"/>
                <w:sz w:val="24"/>
              </w:rPr>
              <w:t>☐</w:t>
            </w:r>
          </w:p>
        </w:tc>
        <w:tc>
          <w:tcPr>
            <w:tcW w:type="dxa" w:w="5669"/>
            <w:shd w:val="clear" w:color="auto" w:fill="F4F7F9"/>
            <w:vAlign w:val="center"/>
          </w:tcPr>
          <w:p>
            <w:pPr>
              <w:keepNext/>
              <w:spacing w:after="0"/>
            </w:pPr>
            <w:r>
              <w:rPr>
                <w:b w:val="0"/>
                <w:i w:val="0"/>
                <w:color w:val="3B4452"/>
                <w:sz w:val="19"/>
              </w:rPr>
              <w:t>No client ledgers in debit</w:t>
            </w:r>
          </w:p>
        </w:tc>
        <w:tc>
          <w:tcPr>
            <w:tcW w:type="dxa" w:w="907"/>
            <w:shd w:val="clear" w:color="auto" w:fill="F4F7F9"/>
            <w:vAlign w:val="center"/>
          </w:tcPr>
          <w:p>
            <w:pPr>
              <w:keepNext/>
              <w:spacing w:after="0"/>
            </w:pPr>
            <w:r>
              <w:rPr>
                <w:b/>
                <w:i w:val="0"/>
                <w:color w:val="0B2545"/>
                <w:sz w:val="18"/>
              </w:rPr>
              <w:t>Firm</w:t>
            </w:r>
          </w:p>
        </w:tc>
        <w:tc>
          <w:tcPr>
            <w:tcW w:type="dxa" w:w="1531"/>
            <w:shd w:val="clear" w:color="auto" w:fill="F4F7F9"/>
            <w:vAlign w:val="center"/>
          </w:tcPr>
          <w:p>
            <w:pPr>
              <w:keepNext/>
              <w:spacing w:after="0"/>
            </w:pPr>
          </w:p>
        </w:tc>
        <w:tc>
          <w:tcPr>
            <w:tcW w:type="dxa" w:w="1134"/>
            <w:shd w:val="clear" w:color="auto" w:fill="F4F7F9"/>
            <w:vAlign w:val="center"/>
          </w:tcPr>
          <w:p>
            <w:pPr>
              <w:keepNext/>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Suspense and holding ledgers emptied, each item posted to its proper matter</w:t>
            </w:r>
          </w:p>
        </w:tc>
        <w:tc>
          <w:tcPr>
            <w:tcW w:type="dxa" w:w="907"/>
            <w:vAlign w:val="center"/>
          </w:tcPr>
          <w:p>
            <w:pPr>
              <w:spacing w:after="0"/>
            </w:pPr>
            <w:r>
              <w:rPr>
                <w:b/>
                <w:i w:val="0"/>
                <w:color w:val="0B2545"/>
                <w:sz w:val="18"/>
              </w:rPr>
              <w:t>Firm</w:t>
            </w:r>
          </w:p>
        </w:tc>
        <w:tc>
          <w:tcPr>
            <w:tcW w:type="dxa" w:w="1531"/>
            <w:vAlign w:val="center"/>
          </w:tcPr>
          <w:p>
            <w:pPr>
              <w:spacing w:after="0"/>
            </w:pPr>
          </w:p>
        </w:tc>
        <w:tc>
          <w:tcPr>
            <w:tcW w:type="dxa" w:w="1134"/>
            <w:vAlign w:val="center"/>
          </w:tcPr>
          <w:p>
            <w:pPr>
              <w:spacing w:after="0"/>
            </w:pPr>
          </w:p>
        </w:tc>
      </w:tr>
      <w:tr>
        <w:trPr>
          <w:cantSplit w:val="true"/>
        </w:trPr>
        <w:tc>
          <w:tcPr>
            <w:tcW w:type="dxa" w:w="624"/>
            <w:shd w:val="clear" w:color="auto" w:fill="F4F7F9"/>
            <w:vAlign w:val="center"/>
          </w:tcPr>
          <w:p>
            <w:pPr>
              <w:spacing w:after="0"/>
              <w:jc w:val="center"/>
            </w:pPr>
            <w:r>
              <w:rPr>
                <w:b w:val="0"/>
                <w:i w:val="0"/>
                <w:color w:val="237A8B"/>
                <w:sz w:val="24"/>
              </w:rPr>
              <w:t>☐</w:t>
            </w:r>
          </w:p>
        </w:tc>
        <w:tc>
          <w:tcPr>
            <w:tcW w:type="dxa" w:w="5669"/>
            <w:shd w:val="clear" w:color="auto" w:fill="F4F7F9"/>
            <w:vAlign w:val="center"/>
          </w:tcPr>
          <w:p>
            <w:pPr>
              <w:spacing w:after="0"/>
            </w:pPr>
            <w:r>
              <w:rPr>
                <w:b w:val="0"/>
                <w:i w:val="0"/>
                <w:color w:val="3B4452"/>
                <w:sz w:val="19"/>
              </w:rPr>
              <w:t>Residual balances on closed matters returned or dealt with under the SRA Accounts Rules</w:t>
            </w:r>
          </w:p>
        </w:tc>
        <w:tc>
          <w:tcPr>
            <w:tcW w:type="dxa" w:w="907"/>
            <w:shd w:val="clear" w:color="auto" w:fill="F4F7F9"/>
            <w:vAlign w:val="center"/>
          </w:tcPr>
          <w:p>
            <w:pPr>
              <w:spacing w:after="0"/>
            </w:pPr>
            <w:r>
              <w:rPr>
                <w:b/>
                <w:i w:val="0"/>
                <w:color w:val="0B2545"/>
                <w:sz w:val="18"/>
              </w:rPr>
              <w:t>Firm</w:t>
            </w:r>
          </w:p>
        </w:tc>
        <w:tc>
          <w:tcPr>
            <w:tcW w:type="dxa" w:w="1531"/>
            <w:shd w:val="clear" w:color="auto" w:fill="F4F7F9"/>
            <w:vAlign w:val="center"/>
          </w:tcPr>
          <w:p>
            <w:pPr>
              <w:spacing w:after="0"/>
            </w:pPr>
          </w:p>
        </w:tc>
        <w:tc>
          <w:tcPr>
            <w:tcW w:type="dxa" w:w="1134"/>
            <w:shd w:val="clear" w:color="auto" w:fill="F4F7F9"/>
            <w:vAlign w:val="center"/>
          </w:tcPr>
          <w:p>
            <w:pPr>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Unbanked receipts banked or reversed; old unpresented cheques chased, cancelled or written back</w:t>
            </w:r>
          </w:p>
        </w:tc>
        <w:tc>
          <w:tcPr>
            <w:tcW w:type="dxa" w:w="907"/>
            <w:vAlign w:val="center"/>
          </w:tcPr>
          <w:p>
            <w:pPr>
              <w:spacing w:after="0"/>
            </w:pPr>
            <w:r>
              <w:rPr>
                <w:b/>
                <w:i w:val="0"/>
                <w:color w:val="0B2545"/>
                <w:sz w:val="18"/>
              </w:rPr>
              <w:t>Firm</w:t>
            </w:r>
          </w:p>
        </w:tc>
        <w:tc>
          <w:tcPr>
            <w:tcW w:type="dxa" w:w="1531"/>
            <w:vAlign w:val="center"/>
          </w:tcPr>
          <w:p>
            <w:pPr>
              <w:spacing w:after="0"/>
            </w:pPr>
          </w:p>
        </w:tc>
        <w:tc>
          <w:tcPr>
            <w:tcW w:type="dxa" w:w="1134"/>
            <w:vAlign w:val="center"/>
          </w:tcPr>
          <w:p>
            <w:pPr>
              <w:spacing w:after="0"/>
            </w:pPr>
          </w:p>
        </w:tc>
      </w:tr>
      <w:tr>
        <w:trPr>
          <w:cantSplit w:val="true"/>
        </w:trPr>
        <w:tc>
          <w:tcPr>
            <w:tcW w:type="dxa" w:w="624"/>
            <w:shd w:val="clear" w:color="auto" w:fill="F4F7F9"/>
            <w:vAlign w:val="center"/>
          </w:tcPr>
          <w:p>
            <w:pPr>
              <w:spacing w:after="0"/>
              <w:jc w:val="center"/>
            </w:pPr>
            <w:r>
              <w:rPr>
                <w:b w:val="0"/>
                <w:i w:val="0"/>
                <w:color w:val="237A8B"/>
                <w:sz w:val="24"/>
              </w:rPr>
              <w:t>☐</w:t>
            </w:r>
          </w:p>
        </w:tc>
        <w:tc>
          <w:tcPr>
            <w:tcW w:type="dxa" w:w="5669"/>
            <w:shd w:val="clear" w:color="auto" w:fill="F4F7F9"/>
            <w:vAlign w:val="center"/>
          </w:tcPr>
          <w:p>
            <w:pPr>
              <w:spacing w:after="0"/>
            </w:pPr>
            <w:r>
              <w:rPr>
                <w:b w:val="0"/>
                <w:i w:val="0"/>
                <w:color w:val="3B4452"/>
                <w:sz w:val="19"/>
              </w:rPr>
              <w:t>Unidentified receipts traced and posted to the right matter</w:t>
            </w:r>
          </w:p>
        </w:tc>
        <w:tc>
          <w:tcPr>
            <w:tcW w:type="dxa" w:w="907"/>
            <w:shd w:val="clear" w:color="auto" w:fill="F4F7F9"/>
            <w:vAlign w:val="center"/>
          </w:tcPr>
          <w:p>
            <w:pPr>
              <w:spacing w:after="0"/>
            </w:pPr>
            <w:r>
              <w:rPr>
                <w:b/>
                <w:i w:val="0"/>
                <w:color w:val="0B2545"/>
                <w:sz w:val="18"/>
              </w:rPr>
              <w:t>Firm</w:t>
            </w:r>
          </w:p>
        </w:tc>
        <w:tc>
          <w:tcPr>
            <w:tcW w:type="dxa" w:w="1531"/>
            <w:shd w:val="clear" w:color="auto" w:fill="F4F7F9"/>
            <w:vAlign w:val="center"/>
          </w:tcPr>
          <w:p>
            <w:pPr>
              <w:spacing w:after="0"/>
            </w:pPr>
          </w:p>
        </w:tc>
        <w:tc>
          <w:tcPr>
            <w:tcW w:type="dxa" w:w="1134"/>
            <w:shd w:val="clear" w:color="auto" w:fill="F4F7F9"/>
            <w:vAlign w:val="center"/>
          </w:tcPr>
          <w:p>
            <w:pPr>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Costs for agreed bills transferred from client to office account</w:t>
            </w:r>
          </w:p>
        </w:tc>
        <w:tc>
          <w:tcPr>
            <w:tcW w:type="dxa" w:w="907"/>
            <w:vAlign w:val="center"/>
          </w:tcPr>
          <w:p>
            <w:pPr>
              <w:spacing w:after="0"/>
            </w:pPr>
            <w:r>
              <w:rPr>
                <w:b/>
                <w:i w:val="0"/>
                <w:color w:val="0B2545"/>
                <w:sz w:val="18"/>
              </w:rPr>
              <w:t>Firm</w:t>
            </w:r>
          </w:p>
        </w:tc>
        <w:tc>
          <w:tcPr>
            <w:tcW w:type="dxa" w:w="1531"/>
            <w:vAlign w:val="center"/>
          </w:tcPr>
          <w:p>
            <w:pPr>
              <w:spacing w:after="0"/>
            </w:pPr>
          </w:p>
        </w:tc>
        <w:tc>
          <w:tcPr>
            <w:tcW w:type="dxa" w:w="1134"/>
            <w:vAlign w:val="center"/>
          </w:tcPr>
          <w:p>
            <w:pPr>
              <w:spacing w:after="0"/>
            </w:pPr>
          </w:p>
        </w:tc>
      </w:tr>
      <w:tr>
        <w:trPr>
          <w:cantSplit w:val="true"/>
        </w:trPr>
        <w:tc>
          <w:tcPr>
            <w:tcW w:type="dxa" w:w="624"/>
            <w:shd w:val="clear" w:color="auto" w:fill="F4F7F9"/>
            <w:vAlign w:val="center"/>
          </w:tcPr>
          <w:p>
            <w:pPr>
              <w:spacing w:after="0"/>
              <w:jc w:val="center"/>
            </w:pPr>
            <w:r>
              <w:rPr>
                <w:b w:val="0"/>
                <w:i w:val="0"/>
                <w:color w:val="237A8B"/>
                <w:sz w:val="24"/>
              </w:rPr>
              <w:t>☐</w:t>
            </w:r>
          </w:p>
        </w:tc>
        <w:tc>
          <w:tcPr>
            <w:tcW w:type="dxa" w:w="5669"/>
            <w:shd w:val="clear" w:color="auto" w:fill="F4F7F9"/>
            <w:vAlign w:val="center"/>
          </w:tcPr>
          <w:p>
            <w:pPr>
              <w:spacing w:after="0"/>
            </w:pPr>
            <w:r>
              <w:rPr>
                <w:b w:val="0"/>
                <w:i w:val="0"/>
                <w:color w:val="3B4452"/>
                <w:sz w:val="19"/>
              </w:rPr>
              <w:t>Old unreconciled items and half-completed transfers resolved</w:t>
            </w:r>
          </w:p>
        </w:tc>
        <w:tc>
          <w:tcPr>
            <w:tcW w:type="dxa" w:w="907"/>
            <w:shd w:val="clear" w:color="auto" w:fill="F4F7F9"/>
            <w:vAlign w:val="center"/>
          </w:tcPr>
          <w:p>
            <w:pPr>
              <w:spacing w:after="0"/>
            </w:pPr>
            <w:r>
              <w:rPr>
                <w:b/>
                <w:i w:val="0"/>
                <w:color w:val="0B2545"/>
                <w:sz w:val="18"/>
              </w:rPr>
              <w:t>Firm</w:t>
            </w:r>
          </w:p>
        </w:tc>
        <w:tc>
          <w:tcPr>
            <w:tcW w:type="dxa" w:w="1531"/>
            <w:shd w:val="clear" w:color="auto" w:fill="F4F7F9"/>
            <w:vAlign w:val="center"/>
          </w:tcPr>
          <w:p>
            <w:pPr>
              <w:spacing w:after="0"/>
            </w:pPr>
          </w:p>
        </w:tc>
        <w:tc>
          <w:tcPr>
            <w:tcW w:type="dxa" w:w="1134"/>
            <w:shd w:val="clear" w:color="auto" w:fill="F4F7F9"/>
            <w:vAlign w:val="center"/>
          </w:tcPr>
          <w:p>
            <w:pPr>
              <w:spacing w:after="0"/>
            </w:pPr>
          </w:p>
        </w:tc>
      </w:tr>
    </w:tbl>
    <w:p>
      <w:pPr>
        <w:keepNext/>
        <w:spacing w:before="280" w:after="0"/>
      </w:pPr>
      <w:r>
        <w:rPr>
          <w:b/>
          <w:i w:val="0"/>
          <w:color w:val="237A8B"/>
          <w:sz w:val="17"/>
          <w:spacing w:val="30"/>
        </w:rPr>
        <w:t>HOUSEKEEPING  ·  2</w:t>
      </w:r>
    </w:p>
    <w:p>
      <w:pPr>
        <w:keepNext/>
        <w:spacing w:after="20"/>
      </w:pPr>
      <w:r>
        <w:rPr>
          <w:b/>
          <w:i w:val="0"/>
          <w:color w:val="0B2545"/>
          <w:sz w:val="28"/>
        </w:rPr>
        <w:t>Bills, time and disbursements</w:t>
      </w:r>
    </w:p>
    <w:p>
      <w:pPr>
        <w:keepNext/>
        <w:spacing w:after="100"/>
      </w:pPr>
      <w:r>
        <w:rPr>
          <w:b w:val="0"/>
          <w:i/>
          <w:color w:val="5F7A8C"/>
          <w:sz w:val="19"/>
        </w:rPr>
        <w:t>Only bring across what is real and collectable.</w:t>
      </w:r>
    </w:p>
    <w:tbl>
      <w:tblPr>
        <w:tblW w:type="auto" w:w="0"/>
        <w:jc w:val="center"/>
        <w:tblLook w:firstColumn="1" w:firstRow="1" w:lastColumn="0" w:lastRow="0" w:noHBand="0" w:noVBand="1" w:val="04A0"/>
        <w:tblBorders>
          <w:top w:val="single" w:sz="4" w:color="DDE5EB"/>
          <w:left w:val="single" w:sz="4" w:color="DDE5EB"/>
          <w:bottom w:val="single" w:sz="4" w:color="DDE5EB"/>
          <w:right w:val="single" w:sz="4" w:color="DDE5EB"/>
          <w:insideH w:val="single" w:sz="4" w:color="DDE5EB"/>
          <w:insideV w:val="single" w:sz="4" w:color="DDE5EB"/>
        </w:tblBorders>
        <w:tblCellMar>
          <w:top w:w="60" w:type="dxa"/>
          <w:bottom w:w="60" w:type="dxa"/>
          <w:left w:w="100" w:type="dxa"/>
          <w:right w:w="100" w:type="dxa"/>
        </w:tblCellMar>
      </w:tblPr>
      <w:tblGrid>
        <w:gridCol w:w="1973"/>
        <w:gridCol w:w="1973"/>
        <w:gridCol w:w="1973"/>
        <w:gridCol w:w="1973"/>
        <w:gridCol w:w="1973"/>
      </w:tblGrid>
      <w:tr>
        <w:trPr>
          <w:tblHeader w:val="true"/>
          <w:cantSplit w:val="true"/>
        </w:trPr>
        <w:tc>
          <w:tcPr>
            <w:tcW w:type="dxa" w:w="624"/>
            <w:shd w:val="clear" w:color="auto" w:fill="0B2545"/>
            <w:vAlign w:val="center"/>
          </w:tcPr>
          <w:p>
            <w:pPr>
              <w:keepNext/>
              <w:spacing w:after="0"/>
            </w:pPr>
            <w:r>
              <w:rPr>
                <w:b/>
                <w:i w:val="0"/>
                <w:color w:val="FFFFFF"/>
                <w:sz w:val="18"/>
              </w:rPr>
              <w:t>Done</w:t>
            </w:r>
          </w:p>
        </w:tc>
        <w:tc>
          <w:tcPr>
            <w:tcW w:type="dxa" w:w="5669"/>
            <w:shd w:val="clear" w:color="auto" w:fill="0B2545"/>
            <w:vAlign w:val="center"/>
          </w:tcPr>
          <w:p>
            <w:pPr>
              <w:keepNext/>
              <w:spacing w:after="0"/>
            </w:pPr>
            <w:r>
              <w:rPr>
                <w:b/>
                <w:i w:val="0"/>
                <w:color w:val="FFFFFF"/>
                <w:sz w:val="18"/>
              </w:rPr>
              <w:t>Item</w:t>
            </w:r>
          </w:p>
        </w:tc>
        <w:tc>
          <w:tcPr>
            <w:tcW w:type="dxa" w:w="907"/>
            <w:shd w:val="clear" w:color="auto" w:fill="0B2545"/>
            <w:vAlign w:val="center"/>
          </w:tcPr>
          <w:p>
            <w:pPr>
              <w:keepNext/>
              <w:spacing w:after="0"/>
            </w:pPr>
            <w:r>
              <w:rPr>
                <w:b/>
                <w:i w:val="0"/>
                <w:color w:val="FFFFFF"/>
                <w:sz w:val="18"/>
              </w:rPr>
              <w:t>Lead</w:t>
            </w:r>
          </w:p>
        </w:tc>
        <w:tc>
          <w:tcPr>
            <w:tcW w:type="dxa" w:w="1531"/>
            <w:shd w:val="clear" w:color="auto" w:fill="0B2545"/>
            <w:vAlign w:val="center"/>
          </w:tcPr>
          <w:p>
            <w:pPr>
              <w:keepNext/>
              <w:spacing w:after="0"/>
            </w:pPr>
            <w:r>
              <w:rPr>
                <w:b/>
                <w:i w:val="0"/>
                <w:color w:val="FFFFFF"/>
                <w:sz w:val="18"/>
              </w:rPr>
              <w:t>Owner</w:t>
            </w:r>
          </w:p>
        </w:tc>
        <w:tc>
          <w:tcPr>
            <w:tcW w:type="dxa" w:w="1134"/>
            <w:shd w:val="clear" w:color="auto" w:fill="0B2545"/>
            <w:vAlign w:val="center"/>
          </w:tcPr>
          <w:p>
            <w:pPr>
              <w:keepNext/>
              <w:spacing w:after="0"/>
            </w:pPr>
            <w:r>
              <w:rPr>
                <w:b/>
                <w:i w:val="0"/>
                <w:color w:val="FFFFFF"/>
                <w:sz w:val="18"/>
              </w:rPr>
              <w:t>Due</w:t>
            </w:r>
          </w:p>
        </w:tc>
      </w:tr>
      <w:tr>
        <w:trPr>
          <w:cantSplit w:val="true"/>
        </w:trPr>
        <w:tc>
          <w:tcPr>
            <w:tcW w:type="dxa" w:w="624"/>
            <w:vAlign w:val="center"/>
          </w:tcPr>
          <w:p>
            <w:pPr>
              <w:keepNext/>
              <w:spacing w:after="0"/>
              <w:jc w:val="center"/>
            </w:pPr>
            <w:r>
              <w:rPr>
                <w:b w:val="0"/>
                <w:i w:val="0"/>
                <w:color w:val="237A8B"/>
                <w:sz w:val="24"/>
              </w:rPr>
              <w:t>☐</w:t>
            </w:r>
          </w:p>
        </w:tc>
        <w:tc>
          <w:tcPr>
            <w:tcW w:type="dxa" w:w="5669"/>
            <w:vAlign w:val="center"/>
          </w:tcPr>
          <w:p>
            <w:pPr>
              <w:keepNext/>
              <w:spacing w:after="0"/>
            </w:pPr>
            <w:r>
              <w:rPr>
                <w:b w:val="0"/>
                <w:i w:val="0"/>
                <w:color w:val="3B4452"/>
                <w:sz w:val="19"/>
              </w:rPr>
              <w:t>Draft and unposted bills posted or deleted</w:t>
            </w:r>
          </w:p>
        </w:tc>
        <w:tc>
          <w:tcPr>
            <w:tcW w:type="dxa" w:w="907"/>
            <w:vAlign w:val="center"/>
          </w:tcPr>
          <w:p>
            <w:pPr>
              <w:keepNext/>
              <w:spacing w:after="0"/>
            </w:pPr>
            <w:r>
              <w:rPr>
                <w:b/>
                <w:i w:val="0"/>
                <w:color w:val="0B2545"/>
                <w:sz w:val="18"/>
              </w:rPr>
              <w:t>Firm</w:t>
            </w:r>
          </w:p>
        </w:tc>
        <w:tc>
          <w:tcPr>
            <w:tcW w:type="dxa" w:w="1531"/>
            <w:vAlign w:val="center"/>
          </w:tcPr>
          <w:p>
            <w:pPr>
              <w:keepNext/>
              <w:spacing w:after="0"/>
            </w:pPr>
          </w:p>
        </w:tc>
        <w:tc>
          <w:tcPr>
            <w:tcW w:type="dxa" w:w="1134"/>
            <w:vAlign w:val="center"/>
          </w:tcPr>
          <w:p>
            <w:pPr>
              <w:keepNext/>
              <w:spacing w:after="0"/>
            </w:pPr>
          </w:p>
        </w:tc>
      </w:tr>
      <w:tr>
        <w:trPr>
          <w:cantSplit w:val="true"/>
        </w:trPr>
        <w:tc>
          <w:tcPr>
            <w:tcW w:type="dxa" w:w="624"/>
            <w:shd w:val="clear" w:color="auto" w:fill="F4F7F9"/>
            <w:vAlign w:val="center"/>
          </w:tcPr>
          <w:p>
            <w:pPr>
              <w:keepNext/>
              <w:spacing w:after="0"/>
              <w:jc w:val="center"/>
            </w:pPr>
            <w:r>
              <w:rPr>
                <w:b w:val="0"/>
                <w:i w:val="0"/>
                <w:color w:val="237A8B"/>
                <w:sz w:val="24"/>
              </w:rPr>
              <w:t>☐</w:t>
            </w:r>
          </w:p>
        </w:tc>
        <w:tc>
          <w:tcPr>
            <w:tcW w:type="dxa" w:w="5669"/>
            <w:shd w:val="clear" w:color="auto" w:fill="F4F7F9"/>
            <w:vAlign w:val="center"/>
          </w:tcPr>
          <w:p>
            <w:pPr>
              <w:keepNext/>
              <w:spacing w:after="0"/>
            </w:pPr>
            <w:r>
              <w:rPr>
                <w:b w:val="0"/>
                <w:i w:val="0"/>
                <w:color w:val="3B4452"/>
                <w:sz w:val="19"/>
              </w:rPr>
              <w:t>Part payments and payments on account allocated to the right bills</w:t>
            </w:r>
          </w:p>
        </w:tc>
        <w:tc>
          <w:tcPr>
            <w:tcW w:type="dxa" w:w="907"/>
            <w:shd w:val="clear" w:color="auto" w:fill="F4F7F9"/>
            <w:vAlign w:val="center"/>
          </w:tcPr>
          <w:p>
            <w:pPr>
              <w:keepNext/>
              <w:spacing w:after="0"/>
            </w:pPr>
            <w:r>
              <w:rPr>
                <w:b/>
                <w:i w:val="0"/>
                <w:color w:val="0B2545"/>
                <w:sz w:val="18"/>
              </w:rPr>
              <w:t>Firm</w:t>
            </w:r>
          </w:p>
        </w:tc>
        <w:tc>
          <w:tcPr>
            <w:tcW w:type="dxa" w:w="1531"/>
            <w:shd w:val="clear" w:color="auto" w:fill="F4F7F9"/>
            <w:vAlign w:val="center"/>
          </w:tcPr>
          <w:p>
            <w:pPr>
              <w:keepNext/>
              <w:spacing w:after="0"/>
            </w:pPr>
          </w:p>
        </w:tc>
        <w:tc>
          <w:tcPr>
            <w:tcW w:type="dxa" w:w="1134"/>
            <w:shd w:val="clear" w:color="auto" w:fill="F4F7F9"/>
            <w:vAlign w:val="center"/>
          </w:tcPr>
          <w:p>
            <w:pPr>
              <w:keepNext/>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Agreed credit notes raised and linked to their bills</w:t>
            </w:r>
          </w:p>
        </w:tc>
        <w:tc>
          <w:tcPr>
            <w:tcW w:type="dxa" w:w="907"/>
            <w:vAlign w:val="center"/>
          </w:tcPr>
          <w:p>
            <w:pPr>
              <w:spacing w:after="0"/>
            </w:pPr>
            <w:r>
              <w:rPr>
                <w:b/>
                <w:i w:val="0"/>
                <w:color w:val="0B2545"/>
                <w:sz w:val="18"/>
              </w:rPr>
              <w:t>Firm</w:t>
            </w:r>
          </w:p>
        </w:tc>
        <w:tc>
          <w:tcPr>
            <w:tcW w:type="dxa" w:w="1531"/>
            <w:vAlign w:val="center"/>
          </w:tcPr>
          <w:p>
            <w:pPr>
              <w:spacing w:after="0"/>
            </w:pPr>
          </w:p>
        </w:tc>
        <w:tc>
          <w:tcPr>
            <w:tcW w:type="dxa" w:w="1134"/>
            <w:vAlign w:val="center"/>
          </w:tcPr>
          <w:p>
            <w:pPr>
              <w:spacing w:after="0"/>
            </w:pPr>
          </w:p>
        </w:tc>
      </w:tr>
      <w:tr>
        <w:trPr>
          <w:cantSplit w:val="true"/>
        </w:trPr>
        <w:tc>
          <w:tcPr>
            <w:tcW w:type="dxa" w:w="624"/>
            <w:shd w:val="clear" w:color="auto" w:fill="F4F7F9"/>
            <w:vAlign w:val="center"/>
          </w:tcPr>
          <w:p>
            <w:pPr>
              <w:spacing w:after="0"/>
              <w:jc w:val="center"/>
            </w:pPr>
            <w:r>
              <w:rPr>
                <w:b w:val="0"/>
                <w:i w:val="0"/>
                <w:color w:val="237A8B"/>
                <w:sz w:val="24"/>
              </w:rPr>
              <w:t>☐</w:t>
            </w:r>
          </w:p>
        </w:tc>
        <w:tc>
          <w:tcPr>
            <w:tcW w:type="dxa" w:w="5669"/>
            <w:shd w:val="clear" w:color="auto" w:fill="F4F7F9"/>
            <w:vAlign w:val="center"/>
          </w:tcPr>
          <w:p>
            <w:pPr>
              <w:spacing w:after="0"/>
            </w:pPr>
            <w:r>
              <w:rPr>
                <w:b w:val="0"/>
                <w:i w:val="0"/>
                <w:color w:val="3B4452"/>
                <w:sz w:val="19"/>
              </w:rPr>
              <w:t>Bad debts written off rather than migrated</w:t>
            </w:r>
          </w:p>
        </w:tc>
        <w:tc>
          <w:tcPr>
            <w:tcW w:type="dxa" w:w="907"/>
            <w:shd w:val="clear" w:color="auto" w:fill="F4F7F9"/>
            <w:vAlign w:val="center"/>
          </w:tcPr>
          <w:p>
            <w:pPr>
              <w:spacing w:after="0"/>
            </w:pPr>
            <w:r>
              <w:rPr>
                <w:b/>
                <w:i w:val="0"/>
                <w:color w:val="0B2545"/>
                <w:sz w:val="18"/>
              </w:rPr>
              <w:t>Firm</w:t>
            </w:r>
          </w:p>
        </w:tc>
        <w:tc>
          <w:tcPr>
            <w:tcW w:type="dxa" w:w="1531"/>
            <w:shd w:val="clear" w:color="auto" w:fill="F4F7F9"/>
            <w:vAlign w:val="center"/>
          </w:tcPr>
          <w:p>
            <w:pPr>
              <w:spacing w:after="0"/>
            </w:pPr>
          </w:p>
        </w:tc>
        <w:tc>
          <w:tcPr>
            <w:tcW w:type="dxa" w:w="1134"/>
            <w:shd w:val="clear" w:color="auto" w:fill="F4F7F9"/>
            <w:vAlign w:val="center"/>
          </w:tcPr>
          <w:p>
            <w:pPr>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Unpaid invoices in the accounts package match the practice system</w:t>
            </w:r>
          </w:p>
        </w:tc>
        <w:tc>
          <w:tcPr>
            <w:tcW w:type="dxa" w:w="907"/>
            <w:vAlign w:val="center"/>
          </w:tcPr>
          <w:p>
            <w:pPr>
              <w:spacing w:after="0"/>
            </w:pPr>
            <w:r>
              <w:rPr>
                <w:b/>
                <w:i w:val="0"/>
                <w:color w:val="0B2545"/>
                <w:sz w:val="18"/>
              </w:rPr>
              <w:t>Firm</w:t>
            </w:r>
          </w:p>
        </w:tc>
        <w:tc>
          <w:tcPr>
            <w:tcW w:type="dxa" w:w="1531"/>
            <w:vAlign w:val="center"/>
          </w:tcPr>
          <w:p>
            <w:pPr>
              <w:spacing w:after="0"/>
            </w:pPr>
          </w:p>
        </w:tc>
        <w:tc>
          <w:tcPr>
            <w:tcW w:type="dxa" w:w="1134"/>
            <w:vAlign w:val="center"/>
          </w:tcPr>
          <w:p>
            <w:pPr>
              <w:spacing w:after="0"/>
            </w:pPr>
          </w:p>
        </w:tc>
      </w:tr>
      <w:tr>
        <w:trPr>
          <w:cantSplit w:val="true"/>
        </w:trPr>
        <w:tc>
          <w:tcPr>
            <w:tcW w:type="dxa" w:w="624"/>
            <w:shd w:val="clear" w:color="auto" w:fill="F4F7F9"/>
            <w:vAlign w:val="center"/>
          </w:tcPr>
          <w:p>
            <w:pPr>
              <w:spacing w:after="0"/>
              <w:jc w:val="center"/>
            </w:pPr>
            <w:r>
              <w:rPr>
                <w:b w:val="0"/>
                <w:i w:val="0"/>
                <w:color w:val="237A8B"/>
                <w:sz w:val="24"/>
              </w:rPr>
              <w:t>☐</w:t>
            </w:r>
          </w:p>
        </w:tc>
        <w:tc>
          <w:tcPr>
            <w:tcW w:type="dxa" w:w="5669"/>
            <w:shd w:val="clear" w:color="auto" w:fill="F4F7F9"/>
            <w:vAlign w:val="center"/>
          </w:tcPr>
          <w:p>
            <w:pPr>
              <w:spacing w:after="0"/>
            </w:pPr>
            <w:r>
              <w:rPr>
                <w:b w:val="0"/>
                <w:i w:val="0"/>
                <w:color w:val="3B4452"/>
                <w:sz w:val="19"/>
              </w:rPr>
              <w:t>Unrecoverable work in progress written off; non-chargeable time recorded as non-chargeable</w:t>
            </w:r>
          </w:p>
        </w:tc>
        <w:tc>
          <w:tcPr>
            <w:tcW w:type="dxa" w:w="907"/>
            <w:shd w:val="clear" w:color="auto" w:fill="F4F7F9"/>
            <w:vAlign w:val="center"/>
          </w:tcPr>
          <w:p>
            <w:pPr>
              <w:spacing w:after="0"/>
            </w:pPr>
            <w:r>
              <w:rPr>
                <w:b/>
                <w:i w:val="0"/>
                <w:color w:val="0B2545"/>
                <w:sz w:val="18"/>
              </w:rPr>
              <w:t>Firm</w:t>
            </w:r>
          </w:p>
        </w:tc>
        <w:tc>
          <w:tcPr>
            <w:tcW w:type="dxa" w:w="1531"/>
            <w:shd w:val="clear" w:color="auto" w:fill="F4F7F9"/>
            <w:vAlign w:val="center"/>
          </w:tcPr>
          <w:p>
            <w:pPr>
              <w:spacing w:after="0"/>
            </w:pPr>
          </w:p>
        </w:tc>
        <w:tc>
          <w:tcPr>
            <w:tcW w:type="dxa" w:w="1134"/>
            <w:shd w:val="clear" w:color="auto" w:fill="F4F7F9"/>
            <w:vAlign w:val="center"/>
          </w:tcPr>
          <w:p>
            <w:pPr>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Unpaid supplier invoices paid or cancelled; estimated disbursements that will never arise cleared</w:t>
            </w:r>
          </w:p>
        </w:tc>
        <w:tc>
          <w:tcPr>
            <w:tcW w:type="dxa" w:w="907"/>
            <w:vAlign w:val="center"/>
          </w:tcPr>
          <w:p>
            <w:pPr>
              <w:spacing w:after="0"/>
            </w:pPr>
            <w:r>
              <w:rPr>
                <w:b/>
                <w:i w:val="0"/>
                <w:color w:val="0B2545"/>
                <w:sz w:val="18"/>
              </w:rPr>
              <w:t>Firm</w:t>
            </w:r>
          </w:p>
        </w:tc>
        <w:tc>
          <w:tcPr>
            <w:tcW w:type="dxa" w:w="1531"/>
            <w:vAlign w:val="center"/>
          </w:tcPr>
          <w:p>
            <w:pPr>
              <w:spacing w:after="0"/>
            </w:pPr>
          </w:p>
        </w:tc>
        <w:tc>
          <w:tcPr>
            <w:tcW w:type="dxa" w:w="1134"/>
            <w:vAlign w:val="center"/>
          </w:tcPr>
          <w:p>
            <w:pPr>
              <w:spacing w:after="0"/>
            </w:pPr>
          </w:p>
        </w:tc>
      </w:tr>
      <w:tr>
        <w:trPr>
          <w:cantSplit w:val="true"/>
        </w:trPr>
        <w:tc>
          <w:tcPr>
            <w:tcW w:type="dxa" w:w="624"/>
            <w:shd w:val="clear" w:color="auto" w:fill="F4F7F9"/>
            <w:vAlign w:val="center"/>
          </w:tcPr>
          <w:p>
            <w:pPr>
              <w:spacing w:after="0"/>
              <w:jc w:val="center"/>
            </w:pPr>
            <w:r>
              <w:rPr>
                <w:b w:val="0"/>
                <w:i w:val="0"/>
                <w:color w:val="237A8B"/>
                <w:sz w:val="24"/>
              </w:rPr>
              <w:t>☐</w:t>
            </w:r>
          </w:p>
        </w:tc>
        <w:tc>
          <w:tcPr>
            <w:tcW w:type="dxa" w:w="5669"/>
            <w:shd w:val="clear" w:color="auto" w:fill="F4F7F9"/>
            <w:vAlign w:val="center"/>
          </w:tcPr>
          <w:p>
            <w:pPr>
              <w:spacing w:after="0"/>
            </w:pPr>
            <w:r>
              <w:rPr>
                <w:b w:val="0"/>
                <w:i w:val="0"/>
                <w:color w:val="3B4452"/>
                <w:sz w:val="19"/>
              </w:rPr>
              <w:t>Fee earner and matter rates checked</w:t>
            </w:r>
          </w:p>
        </w:tc>
        <w:tc>
          <w:tcPr>
            <w:tcW w:type="dxa" w:w="907"/>
            <w:shd w:val="clear" w:color="auto" w:fill="F4F7F9"/>
            <w:vAlign w:val="center"/>
          </w:tcPr>
          <w:p>
            <w:pPr>
              <w:spacing w:after="0"/>
            </w:pPr>
            <w:r>
              <w:rPr>
                <w:b/>
                <w:i w:val="0"/>
                <w:color w:val="0B2545"/>
                <w:sz w:val="18"/>
              </w:rPr>
              <w:t>Firm</w:t>
            </w:r>
          </w:p>
        </w:tc>
        <w:tc>
          <w:tcPr>
            <w:tcW w:type="dxa" w:w="1531"/>
            <w:shd w:val="clear" w:color="auto" w:fill="F4F7F9"/>
            <w:vAlign w:val="center"/>
          </w:tcPr>
          <w:p>
            <w:pPr>
              <w:spacing w:after="0"/>
            </w:pPr>
          </w:p>
        </w:tc>
        <w:tc>
          <w:tcPr>
            <w:tcW w:type="dxa" w:w="1134"/>
            <w:shd w:val="clear" w:color="auto" w:fill="F4F7F9"/>
            <w:vAlign w:val="center"/>
          </w:tcPr>
          <w:p>
            <w:pPr>
              <w:spacing w:after="0"/>
            </w:pPr>
          </w:p>
        </w:tc>
      </w:tr>
    </w:tbl>
    <w:p>
      <w:pPr>
        <w:keepNext/>
        <w:spacing w:before="280" w:after="0"/>
      </w:pPr>
      <w:r>
        <w:rPr>
          <w:b/>
          <w:i w:val="0"/>
          <w:color w:val="237A8B"/>
          <w:sz w:val="17"/>
          <w:spacing w:val="30"/>
        </w:rPr>
        <w:t>HOUSEKEEPING  ·  3</w:t>
      </w:r>
    </w:p>
    <w:p>
      <w:pPr>
        <w:keepNext/>
        <w:spacing w:after="20"/>
      </w:pPr>
      <w:r>
        <w:rPr>
          <w:b/>
          <w:i w:val="0"/>
          <w:color w:val="0B2545"/>
          <w:sz w:val="28"/>
        </w:rPr>
        <w:t>Contacts, matters and documents</w:t>
      </w:r>
    </w:p>
    <w:p>
      <w:pPr>
        <w:keepNext/>
        <w:spacing w:after="100"/>
      </w:pPr>
      <w:r>
        <w:rPr>
          <w:b w:val="0"/>
          <w:i/>
          <w:color w:val="5F7A8C"/>
          <w:sz w:val="19"/>
        </w:rPr>
        <w:t>The structure every workflow, precedent and report will rely on.</w:t>
      </w:r>
    </w:p>
    <w:tbl>
      <w:tblPr>
        <w:tblW w:type="auto" w:w="0"/>
        <w:jc w:val="center"/>
        <w:tblLook w:firstColumn="1" w:firstRow="1" w:lastColumn="0" w:lastRow="0" w:noHBand="0" w:noVBand="1" w:val="04A0"/>
        <w:tblBorders>
          <w:top w:val="single" w:sz="4" w:color="DDE5EB"/>
          <w:left w:val="single" w:sz="4" w:color="DDE5EB"/>
          <w:bottom w:val="single" w:sz="4" w:color="DDE5EB"/>
          <w:right w:val="single" w:sz="4" w:color="DDE5EB"/>
          <w:insideH w:val="single" w:sz="4" w:color="DDE5EB"/>
          <w:insideV w:val="single" w:sz="4" w:color="DDE5EB"/>
        </w:tblBorders>
        <w:tblCellMar>
          <w:top w:w="60" w:type="dxa"/>
          <w:bottom w:w="60" w:type="dxa"/>
          <w:left w:w="100" w:type="dxa"/>
          <w:right w:w="100" w:type="dxa"/>
        </w:tblCellMar>
      </w:tblPr>
      <w:tblGrid>
        <w:gridCol w:w="1973"/>
        <w:gridCol w:w="1973"/>
        <w:gridCol w:w="1973"/>
        <w:gridCol w:w="1973"/>
        <w:gridCol w:w="1973"/>
      </w:tblGrid>
      <w:tr>
        <w:trPr>
          <w:tblHeader w:val="true"/>
          <w:cantSplit w:val="true"/>
        </w:trPr>
        <w:tc>
          <w:tcPr>
            <w:tcW w:type="dxa" w:w="624"/>
            <w:shd w:val="clear" w:color="auto" w:fill="0B2545"/>
            <w:vAlign w:val="center"/>
          </w:tcPr>
          <w:p>
            <w:pPr>
              <w:keepNext/>
              <w:spacing w:after="0"/>
            </w:pPr>
            <w:r>
              <w:rPr>
                <w:b/>
                <w:i w:val="0"/>
                <w:color w:val="FFFFFF"/>
                <w:sz w:val="18"/>
              </w:rPr>
              <w:t>Done</w:t>
            </w:r>
          </w:p>
        </w:tc>
        <w:tc>
          <w:tcPr>
            <w:tcW w:type="dxa" w:w="5669"/>
            <w:shd w:val="clear" w:color="auto" w:fill="0B2545"/>
            <w:vAlign w:val="center"/>
          </w:tcPr>
          <w:p>
            <w:pPr>
              <w:keepNext/>
              <w:spacing w:after="0"/>
            </w:pPr>
            <w:r>
              <w:rPr>
                <w:b/>
                <w:i w:val="0"/>
                <w:color w:val="FFFFFF"/>
                <w:sz w:val="18"/>
              </w:rPr>
              <w:t>Item</w:t>
            </w:r>
          </w:p>
        </w:tc>
        <w:tc>
          <w:tcPr>
            <w:tcW w:type="dxa" w:w="907"/>
            <w:shd w:val="clear" w:color="auto" w:fill="0B2545"/>
            <w:vAlign w:val="center"/>
          </w:tcPr>
          <w:p>
            <w:pPr>
              <w:keepNext/>
              <w:spacing w:after="0"/>
            </w:pPr>
            <w:r>
              <w:rPr>
                <w:b/>
                <w:i w:val="0"/>
                <w:color w:val="FFFFFF"/>
                <w:sz w:val="18"/>
              </w:rPr>
              <w:t>Lead</w:t>
            </w:r>
          </w:p>
        </w:tc>
        <w:tc>
          <w:tcPr>
            <w:tcW w:type="dxa" w:w="1531"/>
            <w:shd w:val="clear" w:color="auto" w:fill="0B2545"/>
            <w:vAlign w:val="center"/>
          </w:tcPr>
          <w:p>
            <w:pPr>
              <w:keepNext/>
              <w:spacing w:after="0"/>
            </w:pPr>
            <w:r>
              <w:rPr>
                <w:b/>
                <w:i w:val="0"/>
                <w:color w:val="FFFFFF"/>
                <w:sz w:val="18"/>
              </w:rPr>
              <w:t>Owner</w:t>
            </w:r>
          </w:p>
        </w:tc>
        <w:tc>
          <w:tcPr>
            <w:tcW w:type="dxa" w:w="1134"/>
            <w:shd w:val="clear" w:color="auto" w:fill="0B2545"/>
            <w:vAlign w:val="center"/>
          </w:tcPr>
          <w:p>
            <w:pPr>
              <w:keepNext/>
              <w:spacing w:after="0"/>
            </w:pPr>
            <w:r>
              <w:rPr>
                <w:b/>
                <w:i w:val="0"/>
                <w:color w:val="FFFFFF"/>
                <w:sz w:val="18"/>
              </w:rPr>
              <w:t>Due</w:t>
            </w:r>
          </w:p>
        </w:tc>
      </w:tr>
      <w:tr>
        <w:trPr>
          <w:cantSplit w:val="true"/>
        </w:trPr>
        <w:tc>
          <w:tcPr>
            <w:tcW w:type="dxa" w:w="624"/>
            <w:vAlign w:val="center"/>
          </w:tcPr>
          <w:p>
            <w:pPr>
              <w:keepNext/>
              <w:spacing w:after="0"/>
              <w:jc w:val="center"/>
            </w:pPr>
            <w:r>
              <w:rPr>
                <w:b w:val="0"/>
                <w:i w:val="0"/>
                <w:color w:val="237A8B"/>
                <w:sz w:val="24"/>
              </w:rPr>
              <w:t>☐</w:t>
            </w:r>
          </w:p>
        </w:tc>
        <w:tc>
          <w:tcPr>
            <w:tcW w:type="dxa" w:w="5669"/>
            <w:vAlign w:val="center"/>
          </w:tcPr>
          <w:p>
            <w:pPr>
              <w:keepNext/>
              <w:spacing w:after="0"/>
            </w:pPr>
            <w:r>
              <w:rPr>
                <w:b w:val="0"/>
                <w:i w:val="0"/>
                <w:color w:val="3B4452"/>
                <w:sz w:val="19"/>
              </w:rPr>
              <w:t>Duplicate contacts merged</w:t>
            </w:r>
          </w:p>
        </w:tc>
        <w:tc>
          <w:tcPr>
            <w:tcW w:type="dxa" w:w="907"/>
            <w:vAlign w:val="center"/>
          </w:tcPr>
          <w:p>
            <w:pPr>
              <w:keepNext/>
              <w:spacing w:after="0"/>
            </w:pPr>
            <w:r>
              <w:rPr>
                <w:b/>
                <w:i w:val="0"/>
                <w:color w:val="0B2545"/>
                <w:sz w:val="18"/>
              </w:rPr>
              <w:t>Firm</w:t>
            </w:r>
          </w:p>
        </w:tc>
        <w:tc>
          <w:tcPr>
            <w:tcW w:type="dxa" w:w="1531"/>
            <w:vAlign w:val="center"/>
          </w:tcPr>
          <w:p>
            <w:pPr>
              <w:keepNext/>
              <w:spacing w:after="0"/>
            </w:pPr>
          </w:p>
        </w:tc>
        <w:tc>
          <w:tcPr>
            <w:tcW w:type="dxa" w:w="1134"/>
            <w:vAlign w:val="center"/>
          </w:tcPr>
          <w:p>
            <w:pPr>
              <w:keepNext/>
              <w:spacing w:after="0"/>
            </w:pPr>
          </w:p>
        </w:tc>
      </w:tr>
      <w:tr>
        <w:trPr>
          <w:cantSplit w:val="true"/>
        </w:trPr>
        <w:tc>
          <w:tcPr>
            <w:tcW w:type="dxa" w:w="624"/>
            <w:shd w:val="clear" w:color="auto" w:fill="F4F7F9"/>
            <w:vAlign w:val="center"/>
          </w:tcPr>
          <w:p>
            <w:pPr>
              <w:keepNext/>
              <w:spacing w:after="0"/>
              <w:jc w:val="center"/>
            </w:pPr>
            <w:r>
              <w:rPr>
                <w:b w:val="0"/>
                <w:i w:val="0"/>
                <w:color w:val="237A8B"/>
                <w:sz w:val="24"/>
              </w:rPr>
              <w:t>☐</w:t>
            </w:r>
          </w:p>
        </w:tc>
        <w:tc>
          <w:tcPr>
            <w:tcW w:type="dxa" w:w="5669"/>
            <w:shd w:val="clear" w:color="auto" w:fill="F4F7F9"/>
            <w:vAlign w:val="center"/>
          </w:tcPr>
          <w:p>
            <w:pPr>
              <w:keepNext/>
              <w:spacing w:after="0"/>
            </w:pPr>
            <w:r>
              <w:rPr>
                <w:b w:val="0"/>
                <w:i w:val="0"/>
                <w:color w:val="3B4452"/>
                <w:sz w:val="19"/>
              </w:rPr>
              <w:t>Records reshaped to fit how the new system models people and organisations (for example, joint records)</w:t>
            </w:r>
          </w:p>
        </w:tc>
        <w:tc>
          <w:tcPr>
            <w:tcW w:type="dxa" w:w="907"/>
            <w:shd w:val="clear" w:color="auto" w:fill="F4F7F9"/>
            <w:vAlign w:val="center"/>
          </w:tcPr>
          <w:p>
            <w:pPr>
              <w:keepNext/>
              <w:spacing w:after="0"/>
            </w:pPr>
            <w:r>
              <w:rPr>
                <w:b/>
                <w:i w:val="0"/>
                <w:color w:val="0B2545"/>
                <w:sz w:val="18"/>
              </w:rPr>
              <w:t>Firm</w:t>
            </w:r>
          </w:p>
        </w:tc>
        <w:tc>
          <w:tcPr>
            <w:tcW w:type="dxa" w:w="1531"/>
            <w:shd w:val="clear" w:color="auto" w:fill="F4F7F9"/>
            <w:vAlign w:val="center"/>
          </w:tcPr>
          <w:p>
            <w:pPr>
              <w:keepNext/>
              <w:spacing w:after="0"/>
            </w:pPr>
          </w:p>
        </w:tc>
        <w:tc>
          <w:tcPr>
            <w:tcW w:type="dxa" w:w="1134"/>
            <w:shd w:val="clear" w:color="auto" w:fill="F4F7F9"/>
            <w:vAlign w:val="center"/>
          </w:tcPr>
          <w:p>
            <w:pPr>
              <w:keepNext/>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Key details complete on active clients</w:t>
            </w:r>
          </w:p>
        </w:tc>
        <w:tc>
          <w:tcPr>
            <w:tcW w:type="dxa" w:w="907"/>
            <w:vAlign w:val="center"/>
          </w:tcPr>
          <w:p>
            <w:pPr>
              <w:spacing w:after="0"/>
            </w:pPr>
            <w:r>
              <w:rPr>
                <w:b/>
                <w:i w:val="0"/>
                <w:color w:val="0B2545"/>
                <w:sz w:val="18"/>
              </w:rPr>
              <w:t>Firm</w:t>
            </w:r>
          </w:p>
        </w:tc>
        <w:tc>
          <w:tcPr>
            <w:tcW w:type="dxa" w:w="1531"/>
            <w:vAlign w:val="center"/>
          </w:tcPr>
          <w:p>
            <w:pPr>
              <w:spacing w:after="0"/>
            </w:pPr>
          </w:p>
        </w:tc>
        <w:tc>
          <w:tcPr>
            <w:tcW w:type="dxa" w:w="1134"/>
            <w:vAlign w:val="center"/>
          </w:tcPr>
          <w:p>
            <w:pPr>
              <w:spacing w:after="0"/>
            </w:pPr>
          </w:p>
        </w:tc>
      </w:tr>
      <w:tr>
        <w:trPr>
          <w:cantSplit w:val="true"/>
        </w:trPr>
        <w:tc>
          <w:tcPr>
            <w:tcW w:type="dxa" w:w="624"/>
            <w:shd w:val="clear" w:color="auto" w:fill="F4F7F9"/>
            <w:vAlign w:val="center"/>
          </w:tcPr>
          <w:p>
            <w:pPr>
              <w:spacing w:after="0"/>
              <w:jc w:val="center"/>
            </w:pPr>
            <w:r>
              <w:rPr>
                <w:b w:val="0"/>
                <w:i w:val="0"/>
                <w:color w:val="237A8B"/>
                <w:sz w:val="24"/>
              </w:rPr>
              <w:t>☐</w:t>
            </w:r>
          </w:p>
        </w:tc>
        <w:tc>
          <w:tcPr>
            <w:tcW w:type="dxa" w:w="5669"/>
            <w:shd w:val="clear" w:color="auto" w:fill="F4F7F9"/>
            <w:vAlign w:val="center"/>
          </w:tcPr>
          <w:p>
            <w:pPr>
              <w:spacing w:after="0"/>
            </w:pPr>
            <w:r>
              <w:rPr>
                <w:b w:val="0"/>
                <w:i w:val="0"/>
                <w:color w:val="3B4452"/>
                <w:sz w:val="19"/>
              </w:rPr>
              <w:t>Finished matters closed; dormant matters reviewed</w:t>
            </w:r>
          </w:p>
        </w:tc>
        <w:tc>
          <w:tcPr>
            <w:tcW w:type="dxa" w:w="907"/>
            <w:shd w:val="clear" w:color="auto" w:fill="F4F7F9"/>
            <w:vAlign w:val="center"/>
          </w:tcPr>
          <w:p>
            <w:pPr>
              <w:spacing w:after="0"/>
            </w:pPr>
            <w:r>
              <w:rPr>
                <w:b/>
                <w:i w:val="0"/>
                <w:color w:val="0B2545"/>
                <w:sz w:val="18"/>
              </w:rPr>
              <w:t>Firm</w:t>
            </w:r>
          </w:p>
        </w:tc>
        <w:tc>
          <w:tcPr>
            <w:tcW w:type="dxa" w:w="1531"/>
            <w:shd w:val="clear" w:color="auto" w:fill="F4F7F9"/>
            <w:vAlign w:val="center"/>
          </w:tcPr>
          <w:p>
            <w:pPr>
              <w:spacing w:after="0"/>
            </w:pPr>
          </w:p>
        </w:tc>
        <w:tc>
          <w:tcPr>
            <w:tcW w:type="dxa" w:w="1134"/>
            <w:shd w:val="clear" w:color="auto" w:fill="F4F7F9"/>
            <w:vAlign w:val="center"/>
          </w:tcPr>
          <w:p>
            <w:pPr>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Every open matter has a current fee earner and supervisor; leavers’ matters reassigned</w:t>
            </w:r>
          </w:p>
        </w:tc>
        <w:tc>
          <w:tcPr>
            <w:tcW w:type="dxa" w:w="907"/>
            <w:vAlign w:val="center"/>
          </w:tcPr>
          <w:p>
            <w:pPr>
              <w:spacing w:after="0"/>
            </w:pPr>
            <w:r>
              <w:rPr>
                <w:b/>
                <w:i w:val="0"/>
                <w:color w:val="0B2545"/>
                <w:sz w:val="18"/>
              </w:rPr>
              <w:t>Firm</w:t>
            </w:r>
          </w:p>
        </w:tc>
        <w:tc>
          <w:tcPr>
            <w:tcW w:type="dxa" w:w="1531"/>
            <w:vAlign w:val="center"/>
          </w:tcPr>
          <w:p>
            <w:pPr>
              <w:spacing w:after="0"/>
            </w:pPr>
          </w:p>
        </w:tc>
        <w:tc>
          <w:tcPr>
            <w:tcW w:type="dxa" w:w="1134"/>
            <w:vAlign w:val="center"/>
          </w:tcPr>
          <w:p>
            <w:pPr>
              <w:spacing w:after="0"/>
            </w:pPr>
          </w:p>
        </w:tc>
      </w:tr>
      <w:tr>
        <w:trPr>
          <w:cantSplit w:val="true"/>
        </w:trPr>
        <w:tc>
          <w:tcPr>
            <w:tcW w:type="dxa" w:w="624"/>
            <w:shd w:val="clear" w:color="auto" w:fill="F4F7F9"/>
            <w:vAlign w:val="center"/>
          </w:tcPr>
          <w:p>
            <w:pPr>
              <w:spacing w:after="0"/>
              <w:jc w:val="center"/>
            </w:pPr>
            <w:r>
              <w:rPr>
                <w:b w:val="0"/>
                <w:i w:val="0"/>
                <w:color w:val="237A8B"/>
                <w:sz w:val="24"/>
              </w:rPr>
              <w:t>☐</w:t>
            </w:r>
          </w:p>
        </w:tc>
        <w:tc>
          <w:tcPr>
            <w:tcW w:type="dxa" w:w="5669"/>
            <w:shd w:val="clear" w:color="auto" w:fill="F4F7F9"/>
            <w:vAlign w:val="center"/>
          </w:tcPr>
          <w:p>
            <w:pPr>
              <w:spacing w:after="0"/>
            </w:pPr>
            <w:r>
              <w:rPr>
                <w:b w:val="0"/>
                <w:i w:val="0"/>
                <w:color w:val="3B4452"/>
                <w:sz w:val="19"/>
              </w:rPr>
              <w:t>Matter types and departments correct, because they drive workflows, precedents and reports</w:t>
            </w:r>
          </w:p>
        </w:tc>
        <w:tc>
          <w:tcPr>
            <w:tcW w:type="dxa" w:w="907"/>
            <w:shd w:val="clear" w:color="auto" w:fill="F4F7F9"/>
            <w:vAlign w:val="center"/>
          </w:tcPr>
          <w:p>
            <w:pPr>
              <w:spacing w:after="0"/>
            </w:pPr>
            <w:r>
              <w:rPr>
                <w:b/>
                <w:i w:val="0"/>
                <w:color w:val="0B2545"/>
                <w:sz w:val="18"/>
              </w:rPr>
              <w:t>Firm</w:t>
            </w:r>
          </w:p>
        </w:tc>
        <w:tc>
          <w:tcPr>
            <w:tcW w:type="dxa" w:w="1531"/>
            <w:shd w:val="clear" w:color="auto" w:fill="F4F7F9"/>
            <w:vAlign w:val="center"/>
          </w:tcPr>
          <w:p>
            <w:pPr>
              <w:spacing w:after="0"/>
            </w:pPr>
          </w:p>
        </w:tc>
        <w:tc>
          <w:tcPr>
            <w:tcW w:type="dxa" w:w="1134"/>
            <w:shd w:val="clear" w:color="auto" w:fill="F4F7F9"/>
            <w:vAlign w:val="center"/>
          </w:tcPr>
          <w:p>
            <w:pPr>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Emails and documents in personal folders filed to their matters; duplicates removed</w:t>
            </w:r>
          </w:p>
        </w:tc>
        <w:tc>
          <w:tcPr>
            <w:tcW w:type="dxa" w:w="907"/>
            <w:vAlign w:val="center"/>
          </w:tcPr>
          <w:p>
            <w:pPr>
              <w:spacing w:after="0"/>
            </w:pPr>
            <w:r>
              <w:rPr>
                <w:b/>
                <w:i w:val="0"/>
                <w:color w:val="0B2545"/>
                <w:sz w:val="18"/>
              </w:rPr>
              <w:t>Firm</w:t>
            </w:r>
          </w:p>
        </w:tc>
        <w:tc>
          <w:tcPr>
            <w:tcW w:type="dxa" w:w="1531"/>
            <w:vAlign w:val="center"/>
          </w:tcPr>
          <w:p>
            <w:pPr>
              <w:spacing w:after="0"/>
            </w:pPr>
          </w:p>
        </w:tc>
        <w:tc>
          <w:tcPr>
            <w:tcW w:type="dxa" w:w="1134"/>
            <w:vAlign w:val="center"/>
          </w:tcPr>
          <w:p>
            <w:pPr>
              <w:spacing w:after="0"/>
            </w:pPr>
          </w:p>
        </w:tc>
      </w:tr>
      <w:tr>
        <w:trPr>
          <w:cantSplit w:val="true"/>
        </w:trPr>
        <w:tc>
          <w:tcPr>
            <w:tcW w:type="dxa" w:w="624"/>
            <w:shd w:val="clear" w:color="auto" w:fill="F4F7F9"/>
            <w:vAlign w:val="center"/>
          </w:tcPr>
          <w:p>
            <w:pPr>
              <w:spacing w:after="0"/>
              <w:jc w:val="center"/>
            </w:pPr>
            <w:r>
              <w:rPr>
                <w:b w:val="0"/>
                <w:i w:val="0"/>
                <w:color w:val="237A8B"/>
                <w:sz w:val="24"/>
              </w:rPr>
              <w:t>☐</w:t>
            </w:r>
          </w:p>
        </w:tc>
        <w:tc>
          <w:tcPr>
            <w:tcW w:type="dxa" w:w="5669"/>
            <w:shd w:val="clear" w:color="auto" w:fill="F4F7F9"/>
            <w:vAlign w:val="center"/>
          </w:tcPr>
          <w:p>
            <w:pPr>
              <w:spacing w:after="0"/>
            </w:pPr>
            <w:r>
              <w:rPr>
                <w:b w:val="0"/>
                <w:i w:val="0"/>
                <w:color w:val="3B4452"/>
                <w:sz w:val="19"/>
              </w:rPr>
              <w:t>Custom transaction types, unusual entries and problem ledgers declared to the vendor</w:t>
            </w:r>
          </w:p>
        </w:tc>
        <w:tc>
          <w:tcPr>
            <w:tcW w:type="dxa" w:w="907"/>
            <w:shd w:val="clear" w:color="auto" w:fill="F4F7F9"/>
            <w:vAlign w:val="center"/>
          </w:tcPr>
          <w:p>
            <w:pPr>
              <w:spacing w:after="0"/>
            </w:pPr>
            <w:r>
              <w:rPr>
                <w:b/>
                <w:i w:val="0"/>
                <w:color w:val="0B2545"/>
                <w:sz w:val="18"/>
              </w:rPr>
              <w:t>Firm</w:t>
            </w:r>
          </w:p>
        </w:tc>
        <w:tc>
          <w:tcPr>
            <w:tcW w:type="dxa" w:w="1531"/>
            <w:shd w:val="clear" w:color="auto" w:fill="F4F7F9"/>
            <w:vAlign w:val="center"/>
          </w:tcPr>
          <w:p>
            <w:pPr>
              <w:spacing w:after="0"/>
            </w:pPr>
          </w:p>
        </w:tc>
        <w:tc>
          <w:tcPr>
            <w:tcW w:type="dxa" w:w="1134"/>
            <w:shd w:val="clear" w:color="auto" w:fill="F4F7F9"/>
            <w:vAlign w:val="center"/>
          </w:tcPr>
          <w:p>
            <w:pPr>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Connected services listed for reconnection: searches, e-signature, payments, accounts package</w:t>
            </w:r>
          </w:p>
        </w:tc>
        <w:tc>
          <w:tcPr>
            <w:tcW w:type="dxa" w:w="907"/>
            <w:vAlign w:val="center"/>
          </w:tcPr>
          <w:p>
            <w:pPr>
              <w:spacing w:after="0"/>
            </w:pPr>
            <w:r>
              <w:rPr>
                <w:b/>
                <w:i w:val="0"/>
                <w:color w:val="0B2545"/>
                <w:sz w:val="18"/>
              </w:rPr>
              <w:t>Firm</w:t>
            </w:r>
          </w:p>
        </w:tc>
        <w:tc>
          <w:tcPr>
            <w:tcW w:type="dxa" w:w="1531"/>
            <w:vAlign w:val="center"/>
          </w:tcPr>
          <w:p>
            <w:pPr>
              <w:spacing w:after="0"/>
            </w:pPr>
          </w:p>
        </w:tc>
        <w:tc>
          <w:tcPr>
            <w:tcW w:type="dxa" w:w="1134"/>
            <w:vAlign w:val="center"/>
          </w:tcPr>
          <w:p>
            <w:pPr>
              <w:spacing w:after="0"/>
            </w:pPr>
          </w:p>
        </w:tc>
      </w:tr>
    </w:tbl>
    <w:p>
      <w:pPr>
        <w:keepNext/>
        <w:spacing w:before="280" w:after="0"/>
      </w:pPr>
      <w:r>
        <w:rPr>
          <w:b/>
          <w:i w:val="0"/>
          <w:color w:val="237A8B"/>
          <w:sz w:val="17"/>
          <w:spacing w:val="30"/>
        </w:rPr>
        <w:t>TRIAL MIGRATION 1</w:t>
      </w:r>
    </w:p>
    <w:p>
      <w:pPr>
        <w:keepNext/>
        <w:spacing w:after="20"/>
      </w:pPr>
      <w:r>
        <w:rPr>
          <w:b/>
          <w:i w:val="0"/>
          <w:color w:val="0B2545"/>
          <w:sz w:val="28"/>
        </w:rPr>
        <w:t>Trial migration 1: the accounts</w:t>
      </w:r>
    </w:p>
    <w:p>
      <w:pPr>
        <w:keepNext/>
        <w:spacing w:after="100"/>
      </w:pPr>
      <w:r>
        <w:rPr>
          <w:b w:val="0"/>
          <w:i/>
          <w:color w:val="5F7A8C"/>
          <w:sz w:val="19"/>
        </w:rPr>
        <w:t>The money comes first, because it has to be right to the penny.</w:t>
      </w:r>
    </w:p>
    <w:tbl>
      <w:tblPr>
        <w:tblW w:type="auto" w:w="0"/>
        <w:jc w:val="center"/>
        <w:tblLook w:firstColumn="1" w:firstRow="1" w:lastColumn="0" w:lastRow="0" w:noHBand="0" w:noVBand="1" w:val="04A0"/>
        <w:tblBorders>
          <w:top w:val="single" w:sz="4" w:color="DDE5EB"/>
          <w:left w:val="single" w:sz="4" w:color="DDE5EB"/>
          <w:bottom w:val="single" w:sz="4" w:color="DDE5EB"/>
          <w:right w:val="single" w:sz="4" w:color="DDE5EB"/>
          <w:insideH w:val="single" w:sz="4" w:color="DDE5EB"/>
          <w:insideV w:val="single" w:sz="4" w:color="DDE5EB"/>
        </w:tblBorders>
        <w:tblCellMar>
          <w:top w:w="60" w:type="dxa"/>
          <w:bottom w:w="60" w:type="dxa"/>
          <w:left w:w="100" w:type="dxa"/>
          <w:right w:w="100" w:type="dxa"/>
        </w:tblCellMar>
      </w:tblPr>
      <w:tblGrid>
        <w:gridCol w:w="1973"/>
        <w:gridCol w:w="1973"/>
        <w:gridCol w:w="1973"/>
        <w:gridCol w:w="1973"/>
        <w:gridCol w:w="1973"/>
      </w:tblGrid>
      <w:tr>
        <w:trPr>
          <w:tblHeader w:val="true"/>
          <w:cantSplit w:val="true"/>
        </w:trPr>
        <w:tc>
          <w:tcPr>
            <w:tcW w:type="dxa" w:w="624"/>
            <w:shd w:val="clear" w:color="auto" w:fill="0B2545"/>
            <w:vAlign w:val="center"/>
          </w:tcPr>
          <w:p>
            <w:pPr>
              <w:keepNext/>
              <w:spacing w:after="0"/>
            </w:pPr>
            <w:r>
              <w:rPr>
                <w:b/>
                <w:i w:val="0"/>
                <w:color w:val="FFFFFF"/>
                <w:sz w:val="18"/>
              </w:rPr>
              <w:t>Done</w:t>
            </w:r>
          </w:p>
        </w:tc>
        <w:tc>
          <w:tcPr>
            <w:tcW w:type="dxa" w:w="5669"/>
            <w:shd w:val="clear" w:color="auto" w:fill="0B2545"/>
            <w:vAlign w:val="center"/>
          </w:tcPr>
          <w:p>
            <w:pPr>
              <w:keepNext/>
              <w:spacing w:after="0"/>
            </w:pPr>
            <w:r>
              <w:rPr>
                <w:b/>
                <w:i w:val="0"/>
                <w:color w:val="FFFFFF"/>
                <w:sz w:val="18"/>
              </w:rPr>
              <w:t>Item</w:t>
            </w:r>
          </w:p>
        </w:tc>
        <w:tc>
          <w:tcPr>
            <w:tcW w:type="dxa" w:w="907"/>
            <w:shd w:val="clear" w:color="auto" w:fill="0B2545"/>
            <w:vAlign w:val="center"/>
          </w:tcPr>
          <w:p>
            <w:pPr>
              <w:keepNext/>
              <w:spacing w:after="0"/>
            </w:pPr>
            <w:r>
              <w:rPr>
                <w:b/>
                <w:i w:val="0"/>
                <w:color w:val="FFFFFF"/>
                <w:sz w:val="18"/>
              </w:rPr>
              <w:t>Lead</w:t>
            </w:r>
          </w:p>
        </w:tc>
        <w:tc>
          <w:tcPr>
            <w:tcW w:type="dxa" w:w="1531"/>
            <w:shd w:val="clear" w:color="auto" w:fill="0B2545"/>
            <w:vAlign w:val="center"/>
          </w:tcPr>
          <w:p>
            <w:pPr>
              <w:keepNext/>
              <w:spacing w:after="0"/>
            </w:pPr>
            <w:r>
              <w:rPr>
                <w:b/>
                <w:i w:val="0"/>
                <w:color w:val="FFFFFF"/>
                <w:sz w:val="18"/>
              </w:rPr>
              <w:t>Owner</w:t>
            </w:r>
          </w:p>
        </w:tc>
        <w:tc>
          <w:tcPr>
            <w:tcW w:type="dxa" w:w="1134"/>
            <w:shd w:val="clear" w:color="auto" w:fill="0B2545"/>
            <w:vAlign w:val="center"/>
          </w:tcPr>
          <w:p>
            <w:pPr>
              <w:keepNext/>
              <w:spacing w:after="0"/>
            </w:pPr>
            <w:r>
              <w:rPr>
                <w:b/>
                <w:i w:val="0"/>
                <w:color w:val="FFFFFF"/>
                <w:sz w:val="18"/>
              </w:rPr>
              <w:t>Due</w:t>
            </w:r>
          </w:p>
        </w:tc>
      </w:tr>
      <w:tr>
        <w:trPr>
          <w:cantSplit w:val="true"/>
        </w:trPr>
        <w:tc>
          <w:tcPr>
            <w:tcW w:type="dxa" w:w="624"/>
            <w:vAlign w:val="center"/>
          </w:tcPr>
          <w:p>
            <w:pPr>
              <w:keepNext/>
              <w:spacing w:after="0"/>
              <w:jc w:val="center"/>
            </w:pPr>
            <w:r>
              <w:rPr>
                <w:b w:val="0"/>
                <w:i w:val="0"/>
                <w:color w:val="237A8B"/>
                <w:sz w:val="24"/>
              </w:rPr>
              <w:t>☐</w:t>
            </w:r>
          </w:p>
        </w:tc>
        <w:tc>
          <w:tcPr>
            <w:tcW w:type="dxa" w:w="5669"/>
            <w:vAlign w:val="center"/>
          </w:tcPr>
          <w:p>
            <w:pPr>
              <w:keepNext/>
              <w:spacing w:after="0"/>
            </w:pPr>
            <w:r>
              <w:rPr>
                <w:b w:val="0"/>
                <w:i w:val="0"/>
                <w:color w:val="3B4452"/>
                <w:sz w:val="19"/>
              </w:rPr>
              <w:t>Cut-off reports saved from the old system: client balances by matter, office balances, aged debtors, unbilled time and disbursements, bank reconciliations</w:t>
            </w:r>
          </w:p>
        </w:tc>
        <w:tc>
          <w:tcPr>
            <w:tcW w:type="dxa" w:w="907"/>
            <w:vAlign w:val="center"/>
          </w:tcPr>
          <w:p>
            <w:pPr>
              <w:keepNext/>
              <w:spacing w:after="0"/>
            </w:pPr>
            <w:r>
              <w:rPr>
                <w:b/>
                <w:i w:val="0"/>
                <w:color w:val="0B2545"/>
                <w:sz w:val="18"/>
              </w:rPr>
              <w:t>Firm</w:t>
            </w:r>
          </w:p>
        </w:tc>
        <w:tc>
          <w:tcPr>
            <w:tcW w:type="dxa" w:w="1531"/>
            <w:vAlign w:val="center"/>
          </w:tcPr>
          <w:p>
            <w:pPr>
              <w:keepNext/>
              <w:spacing w:after="0"/>
            </w:pPr>
          </w:p>
        </w:tc>
        <w:tc>
          <w:tcPr>
            <w:tcW w:type="dxa" w:w="1134"/>
            <w:vAlign w:val="center"/>
          </w:tcPr>
          <w:p>
            <w:pPr>
              <w:keepNext/>
              <w:spacing w:after="0"/>
            </w:pPr>
          </w:p>
        </w:tc>
      </w:tr>
      <w:tr>
        <w:trPr>
          <w:cantSplit w:val="true"/>
        </w:trPr>
        <w:tc>
          <w:tcPr>
            <w:tcW w:type="dxa" w:w="624"/>
            <w:shd w:val="clear" w:color="auto" w:fill="F4F7F9"/>
            <w:vAlign w:val="center"/>
          </w:tcPr>
          <w:p>
            <w:pPr>
              <w:keepNext/>
              <w:spacing w:after="0"/>
              <w:jc w:val="center"/>
            </w:pPr>
            <w:r>
              <w:rPr>
                <w:b w:val="0"/>
                <w:i w:val="0"/>
                <w:color w:val="237A8B"/>
                <w:sz w:val="24"/>
              </w:rPr>
              <w:t>☐</w:t>
            </w:r>
          </w:p>
        </w:tc>
        <w:tc>
          <w:tcPr>
            <w:tcW w:type="dxa" w:w="5669"/>
            <w:shd w:val="clear" w:color="auto" w:fill="F4F7F9"/>
            <w:vAlign w:val="center"/>
          </w:tcPr>
          <w:p>
            <w:pPr>
              <w:keepNext/>
              <w:spacing w:after="0"/>
            </w:pPr>
            <w:r>
              <w:rPr>
                <w:b w:val="0"/>
                <w:i w:val="0"/>
                <w:color w:val="3B4452"/>
                <w:sz w:val="19"/>
              </w:rPr>
              <w:t>Accounts migrated</w:t>
            </w:r>
          </w:p>
        </w:tc>
        <w:tc>
          <w:tcPr>
            <w:tcW w:type="dxa" w:w="907"/>
            <w:shd w:val="clear" w:color="auto" w:fill="F4F7F9"/>
            <w:vAlign w:val="center"/>
          </w:tcPr>
          <w:p>
            <w:pPr>
              <w:keepNext/>
              <w:spacing w:after="0"/>
            </w:pPr>
            <w:r>
              <w:rPr>
                <w:b/>
                <w:i w:val="0"/>
                <w:color w:val="5F7A8C"/>
                <w:sz w:val="18"/>
              </w:rPr>
              <w:t>Vendor</w:t>
            </w:r>
          </w:p>
        </w:tc>
        <w:tc>
          <w:tcPr>
            <w:tcW w:type="dxa" w:w="1531"/>
            <w:shd w:val="clear" w:color="auto" w:fill="F4F7F9"/>
            <w:vAlign w:val="center"/>
          </w:tcPr>
          <w:p>
            <w:pPr>
              <w:keepNext/>
              <w:spacing w:after="0"/>
            </w:pPr>
          </w:p>
        </w:tc>
        <w:tc>
          <w:tcPr>
            <w:tcW w:type="dxa" w:w="1134"/>
            <w:shd w:val="clear" w:color="auto" w:fill="F4F7F9"/>
            <w:vAlign w:val="center"/>
          </w:tcPr>
          <w:p>
            <w:pPr>
              <w:keepNext/>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Validated with the trial migration validation checklist: headline figures, matter by matter, and a spot-check sample</w:t>
            </w:r>
          </w:p>
        </w:tc>
        <w:tc>
          <w:tcPr>
            <w:tcW w:type="dxa" w:w="907"/>
            <w:vAlign w:val="center"/>
          </w:tcPr>
          <w:p>
            <w:pPr>
              <w:spacing w:after="0"/>
            </w:pPr>
            <w:r>
              <w:rPr>
                <w:b/>
                <w:i w:val="0"/>
                <w:color w:val="237A8B"/>
                <w:sz w:val="18"/>
              </w:rPr>
              <w:t>Both</w:t>
            </w:r>
          </w:p>
        </w:tc>
        <w:tc>
          <w:tcPr>
            <w:tcW w:type="dxa" w:w="1531"/>
            <w:vAlign w:val="center"/>
          </w:tcPr>
          <w:p>
            <w:pPr>
              <w:spacing w:after="0"/>
            </w:pPr>
          </w:p>
        </w:tc>
        <w:tc>
          <w:tcPr>
            <w:tcW w:type="dxa" w:w="1134"/>
            <w:vAlign w:val="center"/>
          </w:tcPr>
          <w:p>
            <w:pPr>
              <w:spacing w:after="0"/>
            </w:pPr>
          </w:p>
        </w:tc>
      </w:tr>
      <w:tr>
        <w:trPr>
          <w:cantSplit w:val="true"/>
        </w:trPr>
        <w:tc>
          <w:tcPr>
            <w:tcW w:type="dxa" w:w="624"/>
            <w:shd w:val="clear" w:color="auto" w:fill="F4F7F9"/>
            <w:vAlign w:val="center"/>
          </w:tcPr>
          <w:p>
            <w:pPr>
              <w:spacing w:after="0"/>
              <w:jc w:val="center"/>
            </w:pPr>
            <w:r>
              <w:rPr>
                <w:b w:val="0"/>
                <w:i w:val="0"/>
                <w:color w:val="237A8B"/>
                <w:sz w:val="24"/>
              </w:rPr>
              <w:t>☐</w:t>
            </w:r>
          </w:p>
        </w:tc>
        <w:tc>
          <w:tcPr>
            <w:tcW w:type="dxa" w:w="5669"/>
            <w:shd w:val="clear" w:color="auto" w:fill="F4F7F9"/>
            <w:vAlign w:val="center"/>
          </w:tcPr>
          <w:p>
            <w:pPr>
              <w:spacing w:after="0"/>
            </w:pPr>
            <w:r>
              <w:rPr>
                <w:b w:val="0"/>
                <w:i w:val="0"/>
                <w:color w:val="3B4452"/>
                <w:sz w:val="19"/>
              </w:rPr>
              <w:t>Reconciled matter by matter against the cut-off reports, not just in total</w:t>
            </w:r>
          </w:p>
        </w:tc>
        <w:tc>
          <w:tcPr>
            <w:tcW w:type="dxa" w:w="907"/>
            <w:shd w:val="clear" w:color="auto" w:fill="F4F7F9"/>
            <w:vAlign w:val="center"/>
          </w:tcPr>
          <w:p>
            <w:pPr>
              <w:spacing w:after="0"/>
            </w:pPr>
            <w:r>
              <w:rPr>
                <w:b/>
                <w:i w:val="0"/>
                <w:color w:val="237A8B"/>
                <w:sz w:val="18"/>
              </w:rPr>
              <w:t>Both</w:t>
            </w:r>
          </w:p>
        </w:tc>
        <w:tc>
          <w:tcPr>
            <w:tcW w:type="dxa" w:w="1531"/>
            <w:shd w:val="clear" w:color="auto" w:fill="F4F7F9"/>
            <w:vAlign w:val="center"/>
          </w:tcPr>
          <w:p>
            <w:pPr>
              <w:spacing w:after="0"/>
            </w:pPr>
          </w:p>
        </w:tc>
        <w:tc>
          <w:tcPr>
            <w:tcW w:type="dxa" w:w="1134"/>
            <w:shd w:val="clear" w:color="auto" w:fill="F4F7F9"/>
            <w:vAlign w:val="center"/>
          </w:tcPr>
          <w:p>
            <w:pPr>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Every difference logged with an owner, a decision and a retest</w:t>
            </w:r>
          </w:p>
        </w:tc>
        <w:tc>
          <w:tcPr>
            <w:tcW w:type="dxa" w:w="907"/>
            <w:vAlign w:val="center"/>
          </w:tcPr>
          <w:p>
            <w:pPr>
              <w:spacing w:after="0"/>
            </w:pPr>
            <w:r>
              <w:rPr>
                <w:b/>
                <w:i w:val="0"/>
                <w:color w:val="237A8B"/>
                <w:sz w:val="18"/>
              </w:rPr>
              <w:t>Both</w:t>
            </w:r>
          </w:p>
        </w:tc>
        <w:tc>
          <w:tcPr>
            <w:tcW w:type="dxa" w:w="1531"/>
            <w:vAlign w:val="center"/>
          </w:tcPr>
          <w:p>
            <w:pPr>
              <w:spacing w:after="0"/>
            </w:pPr>
          </w:p>
        </w:tc>
        <w:tc>
          <w:tcPr>
            <w:tcW w:type="dxa" w:w="1134"/>
            <w:vAlign w:val="center"/>
          </w:tcPr>
          <w:p>
            <w:pPr>
              <w:spacing w:after="0"/>
            </w:pPr>
          </w:p>
        </w:tc>
      </w:tr>
      <w:tr>
        <w:trPr>
          <w:cantSplit w:val="true"/>
        </w:trPr>
        <w:tc>
          <w:tcPr>
            <w:tcW w:type="dxa" w:w="624"/>
            <w:shd w:val="clear" w:color="auto" w:fill="F4F7F9"/>
            <w:vAlign w:val="center"/>
          </w:tcPr>
          <w:p>
            <w:pPr>
              <w:spacing w:after="0"/>
              <w:jc w:val="center"/>
            </w:pPr>
            <w:r>
              <w:rPr>
                <w:b w:val="0"/>
                <w:i w:val="0"/>
                <w:color w:val="237A8B"/>
                <w:sz w:val="24"/>
              </w:rPr>
              <w:t>☐</w:t>
            </w:r>
          </w:p>
        </w:tc>
        <w:tc>
          <w:tcPr>
            <w:tcW w:type="dxa" w:w="5669"/>
            <w:shd w:val="clear" w:color="auto" w:fill="F4F7F9"/>
            <w:vAlign w:val="center"/>
          </w:tcPr>
          <w:p>
            <w:pPr>
              <w:spacing w:after="0"/>
            </w:pPr>
            <w:r>
              <w:rPr>
                <w:b w:val="0"/>
                <w:i w:val="0"/>
                <w:color w:val="3B4452"/>
                <w:sz w:val="19"/>
              </w:rPr>
              <w:t>Results reviewed within the agreed window</w:t>
            </w:r>
          </w:p>
        </w:tc>
        <w:tc>
          <w:tcPr>
            <w:tcW w:type="dxa" w:w="907"/>
            <w:shd w:val="clear" w:color="auto" w:fill="F4F7F9"/>
            <w:vAlign w:val="center"/>
          </w:tcPr>
          <w:p>
            <w:pPr>
              <w:spacing w:after="0"/>
            </w:pPr>
            <w:r>
              <w:rPr>
                <w:b/>
                <w:i w:val="0"/>
                <w:color w:val="0B2545"/>
                <w:sz w:val="18"/>
              </w:rPr>
              <w:t>Firm</w:t>
            </w:r>
          </w:p>
        </w:tc>
        <w:tc>
          <w:tcPr>
            <w:tcW w:type="dxa" w:w="1531"/>
            <w:shd w:val="clear" w:color="auto" w:fill="F4F7F9"/>
            <w:vAlign w:val="center"/>
          </w:tcPr>
          <w:p>
            <w:pPr>
              <w:spacing w:after="0"/>
            </w:pPr>
          </w:p>
        </w:tc>
        <w:tc>
          <w:tcPr>
            <w:tcW w:type="dxa" w:w="1134"/>
            <w:shd w:val="clear" w:color="auto" w:fill="F4F7F9"/>
            <w:vAlign w:val="center"/>
          </w:tcPr>
          <w:p>
            <w:pPr>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Findings reviewed by the COFA</w:t>
            </w:r>
          </w:p>
        </w:tc>
        <w:tc>
          <w:tcPr>
            <w:tcW w:type="dxa" w:w="907"/>
            <w:vAlign w:val="center"/>
          </w:tcPr>
          <w:p>
            <w:pPr>
              <w:spacing w:after="0"/>
            </w:pPr>
            <w:r>
              <w:rPr>
                <w:b/>
                <w:i w:val="0"/>
                <w:color w:val="0B2545"/>
                <w:sz w:val="18"/>
              </w:rPr>
              <w:t>Firm</w:t>
            </w:r>
          </w:p>
        </w:tc>
        <w:tc>
          <w:tcPr>
            <w:tcW w:type="dxa" w:w="1531"/>
            <w:vAlign w:val="center"/>
          </w:tcPr>
          <w:p>
            <w:pPr>
              <w:spacing w:after="0"/>
            </w:pPr>
          </w:p>
        </w:tc>
        <w:tc>
          <w:tcPr>
            <w:tcW w:type="dxa" w:w="1134"/>
            <w:vAlign w:val="center"/>
          </w:tcPr>
          <w:p>
            <w:pPr>
              <w:spacing w:after="0"/>
            </w:pPr>
          </w:p>
        </w:tc>
      </w:tr>
    </w:tbl>
    <w:p>
      <w:pPr>
        <w:keepNext/>
        <w:spacing w:before="280" w:after="0"/>
      </w:pPr>
      <w:r>
        <w:rPr>
          <w:b/>
          <w:i w:val="0"/>
          <w:color w:val="237A8B"/>
          <w:sz w:val="17"/>
          <w:spacing w:val="30"/>
        </w:rPr>
        <w:t>TRIAL MIGRATION 2</w:t>
      </w:r>
    </w:p>
    <w:p>
      <w:pPr>
        <w:keepNext/>
        <w:spacing w:after="20"/>
      </w:pPr>
      <w:r>
        <w:rPr>
          <w:b/>
          <w:i w:val="0"/>
          <w:color w:val="0B2545"/>
          <w:sz w:val="28"/>
        </w:rPr>
        <w:t>Trial migration 2: accounts again, plus custom data and documents</w:t>
      </w:r>
    </w:p>
    <w:p>
      <w:pPr>
        <w:keepNext/>
        <w:spacing w:after="100"/>
      </w:pPr>
      <w:r>
        <w:rPr>
          <w:b w:val="0"/>
          <w:i/>
          <w:color w:val="5F7A8C"/>
          <w:sz w:val="19"/>
        </w:rPr>
        <w:t>Prove the fixes held, and that everything works together.</w:t>
      </w:r>
    </w:p>
    <w:tbl>
      <w:tblPr>
        <w:tblW w:type="auto" w:w="0"/>
        <w:jc w:val="center"/>
        <w:tblLook w:firstColumn="1" w:firstRow="1" w:lastColumn="0" w:lastRow="0" w:noHBand="0" w:noVBand="1" w:val="04A0"/>
        <w:tblBorders>
          <w:top w:val="single" w:sz="4" w:color="DDE5EB"/>
          <w:left w:val="single" w:sz="4" w:color="DDE5EB"/>
          <w:bottom w:val="single" w:sz="4" w:color="DDE5EB"/>
          <w:right w:val="single" w:sz="4" w:color="DDE5EB"/>
          <w:insideH w:val="single" w:sz="4" w:color="DDE5EB"/>
          <w:insideV w:val="single" w:sz="4" w:color="DDE5EB"/>
        </w:tblBorders>
        <w:tblCellMar>
          <w:top w:w="60" w:type="dxa"/>
          <w:bottom w:w="60" w:type="dxa"/>
          <w:left w:w="100" w:type="dxa"/>
          <w:right w:w="100" w:type="dxa"/>
        </w:tblCellMar>
      </w:tblPr>
      <w:tblGrid>
        <w:gridCol w:w="1973"/>
        <w:gridCol w:w="1973"/>
        <w:gridCol w:w="1973"/>
        <w:gridCol w:w="1973"/>
        <w:gridCol w:w="1973"/>
      </w:tblGrid>
      <w:tr>
        <w:trPr>
          <w:tblHeader w:val="true"/>
          <w:cantSplit w:val="true"/>
        </w:trPr>
        <w:tc>
          <w:tcPr>
            <w:tcW w:type="dxa" w:w="624"/>
            <w:shd w:val="clear" w:color="auto" w:fill="0B2545"/>
            <w:vAlign w:val="center"/>
          </w:tcPr>
          <w:p>
            <w:pPr>
              <w:keepNext/>
              <w:spacing w:after="0"/>
            </w:pPr>
            <w:r>
              <w:rPr>
                <w:b/>
                <w:i w:val="0"/>
                <w:color w:val="FFFFFF"/>
                <w:sz w:val="18"/>
              </w:rPr>
              <w:t>Done</w:t>
            </w:r>
          </w:p>
        </w:tc>
        <w:tc>
          <w:tcPr>
            <w:tcW w:type="dxa" w:w="5669"/>
            <w:shd w:val="clear" w:color="auto" w:fill="0B2545"/>
            <w:vAlign w:val="center"/>
          </w:tcPr>
          <w:p>
            <w:pPr>
              <w:keepNext/>
              <w:spacing w:after="0"/>
            </w:pPr>
            <w:r>
              <w:rPr>
                <w:b/>
                <w:i w:val="0"/>
                <w:color w:val="FFFFFF"/>
                <w:sz w:val="18"/>
              </w:rPr>
              <w:t>Item</w:t>
            </w:r>
          </w:p>
        </w:tc>
        <w:tc>
          <w:tcPr>
            <w:tcW w:type="dxa" w:w="907"/>
            <w:shd w:val="clear" w:color="auto" w:fill="0B2545"/>
            <w:vAlign w:val="center"/>
          </w:tcPr>
          <w:p>
            <w:pPr>
              <w:keepNext/>
              <w:spacing w:after="0"/>
            </w:pPr>
            <w:r>
              <w:rPr>
                <w:b/>
                <w:i w:val="0"/>
                <w:color w:val="FFFFFF"/>
                <w:sz w:val="18"/>
              </w:rPr>
              <w:t>Lead</w:t>
            </w:r>
          </w:p>
        </w:tc>
        <w:tc>
          <w:tcPr>
            <w:tcW w:type="dxa" w:w="1531"/>
            <w:shd w:val="clear" w:color="auto" w:fill="0B2545"/>
            <w:vAlign w:val="center"/>
          </w:tcPr>
          <w:p>
            <w:pPr>
              <w:keepNext/>
              <w:spacing w:after="0"/>
            </w:pPr>
            <w:r>
              <w:rPr>
                <w:b/>
                <w:i w:val="0"/>
                <w:color w:val="FFFFFF"/>
                <w:sz w:val="18"/>
              </w:rPr>
              <w:t>Owner</w:t>
            </w:r>
          </w:p>
        </w:tc>
        <w:tc>
          <w:tcPr>
            <w:tcW w:type="dxa" w:w="1134"/>
            <w:shd w:val="clear" w:color="auto" w:fill="0B2545"/>
            <w:vAlign w:val="center"/>
          </w:tcPr>
          <w:p>
            <w:pPr>
              <w:keepNext/>
              <w:spacing w:after="0"/>
            </w:pPr>
            <w:r>
              <w:rPr>
                <w:b/>
                <w:i w:val="0"/>
                <w:color w:val="FFFFFF"/>
                <w:sz w:val="18"/>
              </w:rPr>
              <w:t>Due</w:t>
            </w:r>
          </w:p>
        </w:tc>
      </w:tr>
      <w:tr>
        <w:trPr>
          <w:cantSplit w:val="true"/>
        </w:trPr>
        <w:tc>
          <w:tcPr>
            <w:tcW w:type="dxa" w:w="624"/>
            <w:vAlign w:val="center"/>
          </w:tcPr>
          <w:p>
            <w:pPr>
              <w:keepNext/>
              <w:spacing w:after="0"/>
              <w:jc w:val="center"/>
            </w:pPr>
            <w:r>
              <w:rPr>
                <w:b w:val="0"/>
                <w:i w:val="0"/>
                <w:color w:val="237A8B"/>
                <w:sz w:val="24"/>
              </w:rPr>
              <w:t>☐</w:t>
            </w:r>
          </w:p>
        </w:tc>
        <w:tc>
          <w:tcPr>
            <w:tcW w:type="dxa" w:w="5669"/>
            <w:vAlign w:val="center"/>
          </w:tcPr>
          <w:p>
            <w:pPr>
              <w:keepNext/>
              <w:spacing w:after="0"/>
            </w:pPr>
            <w:r>
              <w:rPr>
                <w:b w:val="0"/>
                <w:i w:val="0"/>
                <w:color w:val="3B4452"/>
                <w:sz w:val="19"/>
              </w:rPr>
              <w:t>Fixes from the first trial applied; accounts reconciled again to prove they held</w:t>
            </w:r>
          </w:p>
        </w:tc>
        <w:tc>
          <w:tcPr>
            <w:tcW w:type="dxa" w:w="907"/>
            <w:vAlign w:val="center"/>
          </w:tcPr>
          <w:p>
            <w:pPr>
              <w:keepNext/>
              <w:spacing w:after="0"/>
            </w:pPr>
            <w:r>
              <w:rPr>
                <w:b/>
                <w:i w:val="0"/>
                <w:color w:val="237A8B"/>
                <w:sz w:val="18"/>
              </w:rPr>
              <w:t>Both</w:t>
            </w:r>
          </w:p>
        </w:tc>
        <w:tc>
          <w:tcPr>
            <w:tcW w:type="dxa" w:w="1531"/>
            <w:vAlign w:val="center"/>
          </w:tcPr>
          <w:p>
            <w:pPr>
              <w:keepNext/>
              <w:spacing w:after="0"/>
            </w:pPr>
          </w:p>
        </w:tc>
        <w:tc>
          <w:tcPr>
            <w:tcW w:type="dxa" w:w="1134"/>
            <w:vAlign w:val="center"/>
          </w:tcPr>
          <w:p>
            <w:pPr>
              <w:keepNext/>
              <w:spacing w:after="0"/>
            </w:pPr>
          </w:p>
        </w:tc>
      </w:tr>
      <w:tr>
        <w:trPr>
          <w:cantSplit w:val="true"/>
        </w:trPr>
        <w:tc>
          <w:tcPr>
            <w:tcW w:type="dxa" w:w="624"/>
            <w:shd w:val="clear" w:color="auto" w:fill="F4F7F9"/>
            <w:vAlign w:val="center"/>
          </w:tcPr>
          <w:p>
            <w:pPr>
              <w:keepNext/>
              <w:spacing w:after="0"/>
              <w:jc w:val="center"/>
            </w:pPr>
            <w:r>
              <w:rPr>
                <w:b w:val="0"/>
                <w:i w:val="0"/>
                <w:color w:val="237A8B"/>
                <w:sz w:val="24"/>
              </w:rPr>
              <w:t>☐</w:t>
            </w:r>
          </w:p>
        </w:tc>
        <w:tc>
          <w:tcPr>
            <w:tcW w:type="dxa" w:w="5669"/>
            <w:shd w:val="clear" w:color="auto" w:fill="F4F7F9"/>
            <w:vAlign w:val="center"/>
          </w:tcPr>
          <w:p>
            <w:pPr>
              <w:keepNext/>
              <w:spacing w:after="0"/>
            </w:pPr>
            <w:r>
              <w:rPr>
                <w:b w:val="0"/>
                <w:i w:val="0"/>
                <w:color w:val="3B4452"/>
                <w:sz w:val="19"/>
              </w:rPr>
              <w:t>Agreed custom data in the right fields</w:t>
            </w:r>
          </w:p>
        </w:tc>
        <w:tc>
          <w:tcPr>
            <w:tcW w:type="dxa" w:w="907"/>
            <w:shd w:val="clear" w:color="auto" w:fill="F4F7F9"/>
            <w:vAlign w:val="center"/>
          </w:tcPr>
          <w:p>
            <w:pPr>
              <w:keepNext/>
              <w:spacing w:after="0"/>
            </w:pPr>
            <w:r>
              <w:rPr>
                <w:b/>
                <w:i w:val="0"/>
                <w:color w:val="237A8B"/>
                <w:sz w:val="18"/>
              </w:rPr>
              <w:t>Both</w:t>
            </w:r>
          </w:p>
        </w:tc>
        <w:tc>
          <w:tcPr>
            <w:tcW w:type="dxa" w:w="1531"/>
            <w:shd w:val="clear" w:color="auto" w:fill="F4F7F9"/>
            <w:vAlign w:val="center"/>
          </w:tcPr>
          <w:p>
            <w:pPr>
              <w:keepNext/>
              <w:spacing w:after="0"/>
            </w:pPr>
          </w:p>
        </w:tc>
        <w:tc>
          <w:tcPr>
            <w:tcW w:type="dxa" w:w="1134"/>
            <w:shd w:val="clear" w:color="auto" w:fill="F4F7F9"/>
            <w:vAlign w:val="center"/>
          </w:tcPr>
          <w:p>
            <w:pPr>
              <w:keepNext/>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Documents and emails linked to the right matters, with access controls intact</w:t>
            </w:r>
          </w:p>
        </w:tc>
        <w:tc>
          <w:tcPr>
            <w:tcW w:type="dxa" w:w="907"/>
            <w:vAlign w:val="center"/>
          </w:tcPr>
          <w:p>
            <w:pPr>
              <w:spacing w:after="0"/>
            </w:pPr>
            <w:r>
              <w:rPr>
                <w:b/>
                <w:i w:val="0"/>
                <w:color w:val="237A8B"/>
                <w:sz w:val="18"/>
              </w:rPr>
              <w:t>Both</w:t>
            </w:r>
          </w:p>
        </w:tc>
        <w:tc>
          <w:tcPr>
            <w:tcW w:type="dxa" w:w="1531"/>
            <w:vAlign w:val="center"/>
          </w:tcPr>
          <w:p>
            <w:pPr>
              <w:spacing w:after="0"/>
            </w:pPr>
          </w:p>
        </w:tc>
        <w:tc>
          <w:tcPr>
            <w:tcW w:type="dxa" w:w="1134"/>
            <w:vAlign w:val="center"/>
          </w:tcPr>
          <w:p>
            <w:pPr>
              <w:spacing w:after="0"/>
            </w:pPr>
          </w:p>
        </w:tc>
      </w:tr>
      <w:tr>
        <w:trPr>
          <w:cantSplit w:val="true"/>
        </w:trPr>
        <w:tc>
          <w:tcPr>
            <w:tcW w:type="dxa" w:w="624"/>
            <w:shd w:val="clear" w:color="auto" w:fill="F4F7F9"/>
            <w:vAlign w:val="center"/>
          </w:tcPr>
          <w:p>
            <w:pPr>
              <w:spacing w:after="0"/>
              <w:jc w:val="center"/>
            </w:pPr>
            <w:r>
              <w:rPr>
                <w:b w:val="0"/>
                <w:i w:val="0"/>
                <w:color w:val="237A8B"/>
                <w:sz w:val="24"/>
              </w:rPr>
              <w:t>☐</w:t>
            </w:r>
          </w:p>
        </w:tc>
        <w:tc>
          <w:tcPr>
            <w:tcW w:type="dxa" w:w="5669"/>
            <w:shd w:val="clear" w:color="auto" w:fill="F4F7F9"/>
            <w:vAlign w:val="center"/>
          </w:tcPr>
          <w:p>
            <w:pPr>
              <w:spacing w:after="0"/>
            </w:pPr>
            <w:r>
              <w:rPr>
                <w:b w:val="0"/>
                <w:i w:val="0"/>
                <w:color w:val="3B4452"/>
                <w:sz w:val="19"/>
              </w:rPr>
              <w:t>Fee earners check their own live matters: custom data, key dates, documents</w:t>
            </w:r>
          </w:p>
        </w:tc>
        <w:tc>
          <w:tcPr>
            <w:tcW w:type="dxa" w:w="907"/>
            <w:shd w:val="clear" w:color="auto" w:fill="F4F7F9"/>
            <w:vAlign w:val="center"/>
          </w:tcPr>
          <w:p>
            <w:pPr>
              <w:spacing w:after="0"/>
            </w:pPr>
            <w:r>
              <w:rPr>
                <w:b/>
                <w:i w:val="0"/>
                <w:color w:val="0B2545"/>
                <w:sz w:val="18"/>
              </w:rPr>
              <w:t>Firm</w:t>
            </w:r>
          </w:p>
        </w:tc>
        <w:tc>
          <w:tcPr>
            <w:tcW w:type="dxa" w:w="1531"/>
            <w:shd w:val="clear" w:color="auto" w:fill="F4F7F9"/>
            <w:vAlign w:val="center"/>
          </w:tcPr>
          <w:p>
            <w:pPr>
              <w:spacing w:after="0"/>
            </w:pPr>
          </w:p>
        </w:tc>
        <w:tc>
          <w:tcPr>
            <w:tcW w:type="dxa" w:w="1134"/>
            <w:shd w:val="clear" w:color="auto" w:fill="F4F7F9"/>
            <w:vAlign w:val="center"/>
          </w:tcPr>
          <w:p>
            <w:pPr>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Precedents generated and workflows run on migrated matters, including matters part way through a process</w:t>
            </w:r>
          </w:p>
        </w:tc>
        <w:tc>
          <w:tcPr>
            <w:tcW w:type="dxa" w:w="907"/>
            <w:vAlign w:val="center"/>
          </w:tcPr>
          <w:p>
            <w:pPr>
              <w:spacing w:after="0"/>
            </w:pPr>
            <w:r>
              <w:rPr>
                <w:b/>
                <w:i w:val="0"/>
                <w:color w:val="237A8B"/>
                <w:sz w:val="18"/>
              </w:rPr>
              <w:t>Both</w:t>
            </w:r>
          </w:p>
        </w:tc>
        <w:tc>
          <w:tcPr>
            <w:tcW w:type="dxa" w:w="1531"/>
            <w:vAlign w:val="center"/>
          </w:tcPr>
          <w:p>
            <w:pPr>
              <w:spacing w:after="0"/>
            </w:pPr>
          </w:p>
        </w:tc>
        <w:tc>
          <w:tcPr>
            <w:tcW w:type="dxa" w:w="1134"/>
            <w:vAlign w:val="center"/>
          </w:tcPr>
          <w:p>
            <w:pPr>
              <w:spacing w:after="0"/>
            </w:pPr>
          </w:p>
        </w:tc>
      </w:tr>
      <w:tr>
        <w:trPr>
          <w:cantSplit w:val="true"/>
        </w:trPr>
        <w:tc>
          <w:tcPr>
            <w:tcW w:type="dxa" w:w="624"/>
            <w:shd w:val="clear" w:color="auto" w:fill="F4F7F9"/>
            <w:vAlign w:val="center"/>
          </w:tcPr>
          <w:p>
            <w:pPr>
              <w:spacing w:after="0"/>
              <w:jc w:val="center"/>
            </w:pPr>
            <w:r>
              <w:rPr>
                <w:b w:val="0"/>
                <w:i w:val="0"/>
                <w:color w:val="237A8B"/>
                <w:sz w:val="24"/>
              </w:rPr>
              <w:t>☐</w:t>
            </w:r>
          </w:p>
        </w:tc>
        <w:tc>
          <w:tcPr>
            <w:tcW w:type="dxa" w:w="5669"/>
            <w:shd w:val="clear" w:color="auto" w:fill="F4F7F9"/>
            <w:vAlign w:val="center"/>
          </w:tcPr>
          <w:p>
            <w:pPr>
              <w:spacing w:after="0"/>
            </w:pPr>
            <w:r>
              <w:rPr>
                <w:b w:val="0"/>
                <w:i w:val="0"/>
                <w:color w:val="3B4452"/>
                <w:sz w:val="19"/>
              </w:rPr>
              <w:t>No new scope added without the time to map and test it</w:t>
            </w:r>
          </w:p>
        </w:tc>
        <w:tc>
          <w:tcPr>
            <w:tcW w:type="dxa" w:w="907"/>
            <w:shd w:val="clear" w:color="auto" w:fill="F4F7F9"/>
            <w:vAlign w:val="center"/>
          </w:tcPr>
          <w:p>
            <w:pPr>
              <w:spacing w:after="0"/>
            </w:pPr>
            <w:r>
              <w:rPr>
                <w:b/>
                <w:i w:val="0"/>
                <w:color w:val="237A8B"/>
                <w:sz w:val="18"/>
              </w:rPr>
              <w:t>Both</w:t>
            </w:r>
          </w:p>
        </w:tc>
        <w:tc>
          <w:tcPr>
            <w:tcW w:type="dxa" w:w="1531"/>
            <w:shd w:val="clear" w:color="auto" w:fill="F4F7F9"/>
            <w:vAlign w:val="center"/>
          </w:tcPr>
          <w:p>
            <w:pPr>
              <w:spacing w:after="0"/>
            </w:pPr>
          </w:p>
        </w:tc>
        <w:tc>
          <w:tcPr>
            <w:tcW w:type="dxa" w:w="1134"/>
            <w:shd w:val="clear" w:color="auto" w:fill="F4F7F9"/>
            <w:vAlign w:val="center"/>
          </w:tcPr>
          <w:p>
            <w:pPr>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Accounts signed off by the COFA</w:t>
            </w:r>
          </w:p>
        </w:tc>
        <w:tc>
          <w:tcPr>
            <w:tcW w:type="dxa" w:w="907"/>
            <w:vAlign w:val="center"/>
          </w:tcPr>
          <w:p>
            <w:pPr>
              <w:spacing w:after="0"/>
            </w:pPr>
            <w:r>
              <w:rPr>
                <w:b/>
                <w:i w:val="0"/>
                <w:color w:val="0B2545"/>
                <w:sz w:val="18"/>
              </w:rPr>
              <w:t>Firm</w:t>
            </w:r>
          </w:p>
        </w:tc>
        <w:tc>
          <w:tcPr>
            <w:tcW w:type="dxa" w:w="1531"/>
            <w:vAlign w:val="center"/>
          </w:tcPr>
          <w:p>
            <w:pPr>
              <w:spacing w:after="0"/>
            </w:pPr>
          </w:p>
        </w:tc>
        <w:tc>
          <w:tcPr>
            <w:tcW w:type="dxa" w:w="1134"/>
            <w:vAlign w:val="center"/>
          </w:tcPr>
          <w:p>
            <w:pPr>
              <w:spacing w:after="0"/>
            </w:pPr>
          </w:p>
        </w:tc>
      </w:tr>
    </w:tbl>
    <w:p>
      <w:pPr>
        <w:keepNext/>
        <w:spacing w:before="280" w:after="0"/>
      </w:pPr>
      <w:r>
        <w:rPr>
          <w:b/>
          <w:i w:val="0"/>
          <w:color w:val="237A8B"/>
          <w:sz w:val="17"/>
          <w:spacing w:val="30"/>
        </w:rPr>
        <w:t>FINAL MIGRATION</w:t>
      </w:r>
    </w:p>
    <w:p>
      <w:pPr>
        <w:keepNext/>
        <w:spacing w:after="20"/>
      </w:pPr>
      <w:r>
        <w:rPr>
          <w:b/>
          <w:i w:val="0"/>
          <w:color w:val="0B2545"/>
          <w:sz w:val="28"/>
        </w:rPr>
        <w:t>Ready for the final migration</w:t>
      </w:r>
    </w:p>
    <w:p>
      <w:pPr>
        <w:keepNext/>
        <w:spacing w:after="100"/>
      </w:pPr>
      <w:r>
        <w:rPr>
          <w:b w:val="0"/>
          <w:i/>
          <w:color w:val="5F7A8C"/>
          <w:sz w:val="19"/>
        </w:rPr>
        <w:t>Then follow the one-month countdown checklist to go-live.</w:t>
      </w:r>
    </w:p>
    <w:tbl>
      <w:tblPr>
        <w:tblW w:type="auto" w:w="0"/>
        <w:jc w:val="center"/>
        <w:tblLook w:firstColumn="1" w:firstRow="1" w:lastColumn="0" w:lastRow="0" w:noHBand="0" w:noVBand="1" w:val="04A0"/>
        <w:tblBorders>
          <w:top w:val="single" w:sz="4" w:color="DDE5EB"/>
          <w:left w:val="single" w:sz="4" w:color="DDE5EB"/>
          <w:bottom w:val="single" w:sz="4" w:color="DDE5EB"/>
          <w:right w:val="single" w:sz="4" w:color="DDE5EB"/>
          <w:insideH w:val="single" w:sz="4" w:color="DDE5EB"/>
          <w:insideV w:val="single" w:sz="4" w:color="DDE5EB"/>
        </w:tblBorders>
        <w:tblCellMar>
          <w:top w:w="60" w:type="dxa"/>
          <w:bottom w:w="60" w:type="dxa"/>
          <w:left w:w="100" w:type="dxa"/>
          <w:right w:w="100" w:type="dxa"/>
        </w:tblCellMar>
      </w:tblPr>
      <w:tblGrid>
        <w:gridCol w:w="1973"/>
        <w:gridCol w:w="1973"/>
        <w:gridCol w:w="1973"/>
        <w:gridCol w:w="1973"/>
        <w:gridCol w:w="1973"/>
      </w:tblGrid>
      <w:tr>
        <w:trPr>
          <w:tblHeader w:val="true"/>
          <w:cantSplit w:val="true"/>
        </w:trPr>
        <w:tc>
          <w:tcPr>
            <w:tcW w:type="dxa" w:w="624"/>
            <w:shd w:val="clear" w:color="auto" w:fill="0B2545"/>
            <w:vAlign w:val="center"/>
          </w:tcPr>
          <w:p>
            <w:pPr>
              <w:keepNext/>
              <w:spacing w:after="0"/>
            </w:pPr>
            <w:r>
              <w:rPr>
                <w:b/>
                <w:i w:val="0"/>
                <w:color w:val="FFFFFF"/>
                <w:sz w:val="18"/>
              </w:rPr>
              <w:t>Done</w:t>
            </w:r>
          </w:p>
        </w:tc>
        <w:tc>
          <w:tcPr>
            <w:tcW w:type="dxa" w:w="5669"/>
            <w:shd w:val="clear" w:color="auto" w:fill="0B2545"/>
            <w:vAlign w:val="center"/>
          </w:tcPr>
          <w:p>
            <w:pPr>
              <w:keepNext/>
              <w:spacing w:after="0"/>
            </w:pPr>
            <w:r>
              <w:rPr>
                <w:b/>
                <w:i w:val="0"/>
                <w:color w:val="FFFFFF"/>
                <w:sz w:val="18"/>
              </w:rPr>
              <w:t>Item</w:t>
            </w:r>
          </w:p>
        </w:tc>
        <w:tc>
          <w:tcPr>
            <w:tcW w:type="dxa" w:w="907"/>
            <w:shd w:val="clear" w:color="auto" w:fill="0B2545"/>
            <w:vAlign w:val="center"/>
          </w:tcPr>
          <w:p>
            <w:pPr>
              <w:keepNext/>
              <w:spacing w:after="0"/>
            </w:pPr>
            <w:r>
              <w:rPr>
                <w:b/>
                <w:i w:val="0"/>
                <w:color w:val="FFFFFF"/>
                <w:sz w:val="18"/>
              </w:rPr>
              <w:t>Lead</w:t>
            </w:r>
          </w:p>
        </w:tc>
        <w:tc>
          <w:tcPr>
            <w:tcW w:type="dxa" w:w="1531"/>
            <w:shd w:val="clear" w:color="auto" w:fill="0B2545"/>
            <w:vAlign w:val="center"/>
          </w:tcPr>
          <w:p>
            <w:pPr>
              <w:keepNext/>
              <w:spacing w:after="0"/>
            </w:pPr>
            <w:r>
              <w:rPr>
                <w:b/>
                <w:i w:val="0"/>
                <w:color w:val="FFFFFF"/>
                <w:sz w:val="18"/>
              </w:rPr>
              <w:t>Owner</w:t>
            </w:r>
          </w:p>
        </w:tc>
        <w:tc>
          <w:tcPr>
            <w:tcW w:type="dxa" w:w="1134"/>
            <w:shd w:val="clear" w:color="auto" w:fill="0B2545"/>
            <w:vAlign w:val="center"/>
          </w:tcPr>
          <w:p>
            <w:pPr>
              <w:keepNext/>
              <w:spacing w:after="0"/>
            </w:pPr>
            <w:r>
              <w:rPr>
                <w:b/>
                <w:i w:val="0"/>
                <w:color w:val="FFFFFF"/>
                <w:sz w:val="18"/>
              </w:rPr>
              <w:t>Due</w:t>
            </w:r>
          </w:p>
        </w:tc>
      </w:tr>
      <w:tr>
        <w:trPr>
          <w:cantSplit w:val="true"/>
        </w:trPr>
        <w:tc>
          <w:tcPr>
            <w:tcW w:type="dxa" w:w="624"/>
            <w:vAlign w:val="center"/>
          </w:tcPr>
          <w:p>
            <w:pPr>
              <w:keepNext/>
              <w:spacing w:after="0"/>
              <w:jc w:val="center"/>
            </w:pPr>
            <w:r>
              <w:rPr>
                <w:b w:val="0"/>
                <w:i w:val="0"/>
                <w:color w:val="237A8B"/>
                <w:sz w:val="24"/>
              </w:rPr>
              <w:t>☐</w:t>
            </w:r>
          </w:p>
        </w:tc>
        <w:tc>
          <w:tcPr>
            <w:tcW w:type="dxa" w:w="5669"/>
            <w:vAlign w:val="center"/>
          </w:tcPr>
          <w:p>
            <w:pPr>
              <w:keepNext/>
              <w:spacing w:after="0"/>
            </w:pPr>
            <w:r>
              <w:rPr>
                <w:b w:val="0"/>
                <w:i w:val="0"/>
                <w:color w:val="3B4452"/>
                <w:sz w:val="19"/>
              </w:rPr>
              <w:t>Housekeeping repeated for anything new since the trials</w:t>
            </w:r>
          </w:p>
        </w:tc>
        <w:tc>
          <w:tcPr>
            <w:tcW w:type="dxa" w:w="907"/>
            <w:vAlign w:val="center"/>
          </w:tcPr>
          <w:p>
            <w:pPr>
              <w:keepNext/>
              <w:spacing w:after="0"/>
            </w:pPr>
            <w:r>
              <w:rPr>
                <w:b/>
                <w:i w:val="0"/>
                <w:color w:val="0B2545"/>
                <w:sz w:val="18"/>
              </w:rPr>
              <w:t>Firm</w:t>
            </w:r>
          </w:p>
        </w:tc>
        <w:tc>
          <w:tcPr>
            <w:tcW w:type="dxa" w:w="1531"/>
            <w:vAlign w:val="center"/>
          </w:tcPr>
          <w:p>
            <w:pPr>
              <w:keepNext/>
              <w:spacing w:after="0"/>
            </w:pPr>
          </w:p>
        </w:tc>
        <w:tc>
          <w:tcPr>
            <w:tcW w:type="dxa" w:w="1134"/>
            <w:vAlign w:val="center"/>
          </w:tcPr>
          <w:p>
            <w:pPr>
              <w:keepNext/>
              <w:spacing w:after="0"/>
            </w:pPr>
          </w:p>
        </w:tc>
      </w:tr>
      <w:tr>
        <w:trPr>
          <w:cantSplit w:val="true"/>
        </w:trPr>
        <w:tc>
          <w:tcPr>
            <w:tcW w:type="dxa" w:w="624"/>
            <w:shd w:val="clear" w:color="auto" w:fill="F4F7F9"/>
            <w:vAlign w:val="center"/>
          </w:tcPr>
          <w:p>
            <w:pPr>
              <w:keepNext/>
              <w:spacing w:after="0"/>
              <w:jc w:val="center"/>
            </w:pPr>
            <w:r>
              <w:rPr>
                <w:b w:val="0"/>
                <w:i w:val="0"/>
                <w:color w:val="237A8B"/>
                <w:sz w:val="24"/>
              </w:rPr>
              <w:t>☐</w:t>
            </w:r>
          </w:p>
        </w:tc>
        <w:tc>
          <w:tcPr>
            <w:tcW w:type="dxa" w:w="5669"/>
            <w:shd w:val="clear" w:color="auto" w:fill="F4F7F9"/>
            <w:vAlign w:val="center"/>
          </w:tcPr>
          <w:p>
            <w:pPr>
              <w:keepNext/>
              <w:spacing w:after="0"/>
            </w:pPr>
            <w:r>
              <w:rPr>
                <w:b w:val="0"/>
                <w:i w:val="0"/>
                <w:color w:val="3B4452"/>
                <w:sz w:val="19"/>
              </w:rPr>
              <w:t>Final migration rehearsed to the cut-over timetable</w:t>
            </w:r>
          </w:p>
        </w:tc>
        <w:tc>
          <w:tcPr>
            <w:tcW w:type="dxa" w:w="907"/>
            <w:shd w:val="clear" w:color="auto" w:fill="F4F7F9"/>
            <w:vAlign w:val="center"/>
          </w:tcPr>
          <w:p>
            <w:pPr>
              <w:keepNext/>
              <w:spacing w:after="0"/>
            </w:pPr>
            <w:r>
              <w:rPr>
                <w:b/>
                <w:i w:val="0"/>
                <w:color w:val="5F7A8C"/>
                <w:sz w:val="18"/>
              </w:rPr>
              <w:t>Vendor</w:t>
            </w:r>
          </w:p>
        </w:tc>
        <w:tc>
          <w:tcPr>
            <w:tcW w:type="dxa" w:w="1531"/>
            <w:shd w:val="clear" w:color="auto" w:fill="F4F7F9"/>
            <w:vAlign w:val="center"/>
          </w:tcPr>
          <w:p>
            <w:pPr>
              <w:keepNext/>
              <w:spacing w:after="0"/>
            </w:pPr>
          </w:p>
        </w:tc>
        <w:tc>
          <w:tcPr>
            <w:tcW w:type="dxa" w:w="1134"/>
            <w:shd w:val="clear" w:color="auto" w:fill="F4F7F9"/>
            <w:vAlign w:val="center"/>
          </w:tcPr>
          <w:p>
            <w:pPr>
              <w:keepNext/>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Written go or no-go criteria agreed</w:t>
            </w:r>
          </w:p>
        </w:tc>
        <w:tc>
          <w:tcPr>
            <w:tcW w:type="dxa" w:w="907"/>
            <w:vAlign w:val="center"/>
          </w:tcPr>
          <w:p>
            <w:pPr>
              <w:spacing w:after="0"/>
            </w:pPr>
            <w:r>
              <w:rPr>
                <w:b/>
                <w:i w:val="0"/>
                <w:color w:val="237A8B"/>
                <w:sz w:val="18"/>
              </w:rPr>
              <w:t>Both</w:t>
            </w:r>
          </w:p>
        </w:tc>
        <w:tc>
          <w:tcPr>
            <w:tcW w:type="dxa" w:w="1531"/>
            <w:vAlign w:val="center"/>
          </w:tcPr>
          <w:p>
            <w:pPr>
              <w:spacing w:after="0"/>
            </w:pPr>
          </w:p>
        </w:tc>
        <w:tc>
          <w:tcPr>
            <w:tcW w:type="dxa" w:w="1134"/>
            <w:vAlign w:val="center"/>
          </w:tcPr>
          <w:p>
            <w:pPr>
              <w:spacing w:after="0"/>
            </w:pPr>
          </w:p>
        </w:tc>
      </w:tr>
      <w:tr>
        <w:trPr>
          <w:cantSplit w:val="true"/>
        </w:trPr>
        <w:tc>
          <w:tcPr>
            <w:tcW w:type="dxa" w:w="624"/>
            <w:shd w:val="clear" w:color="auto" w:fill="F4F7F9"/>
            <w:vAlign w:val="center"/>
          </w:tcPr>
          <w:p>
            <w:pPr>
              <w:spacing w:after="0"/>
              <w:jc w:val="center"/>
            </w:pPr>
            <w:r>
              <w:rPr>
                <w:b w:val="0"/>
                <w:i w:val="0"/>
                <w:color w:val="237A8B"/>
                <w:sz w:val="24"/>
              </w:rPr>
              <w:t>☐</w:t>
            </w:r>
          </w:p>
        </w:tc>
        <w:tc>
          <w:tcPr>
            <w:tcW w:type="dxa" w:w="5669"/>
            <w:shd w:val="clear" w:color="auto" w:fill="F4F7F9"/>
            <w:vAlign w:val="center"/>
          </w:tcPr>
          <w:p>
            <w:pPr>
              <w:spacing w:after="0"/>
            </w:pPr>
            <w:r>
              <w:rPr>
                <w:b w:val="0"/>
                <w:i w:val="0"/>
                <w:color w:val="3B4452"/>
                <w:sz w:val="19"/>
              </w:rPr>
              <w:t>Read-only access to the old system arranged for queries and the accountant’s report</w:t>
            </w:r>
          </w:p>
        </w:tc>
        <w:tc>
          <w:tcPr>
            <w:tcW w:type="dxa" w:w="907"/>
            <w:shd w:val="clear" w:color="auto" w:fill="F4F7F9"/>
            <w:vAlign w:val="center"/>
          </w:tcPr>
          <w:p>
            <w:pPr>
              <w:spacing w:after="0"/>
            </w:pPr>
            <w:r>
              <w:rPr>
                <w:b/>
                <w:i w:val="0"/>
                <w:color w:val="0B2545"/>
                <w:sz w:val="18"/>
              </w:rPr>
              <w:t>Firm</w:t>
            </w:r>
          </w:p>
        </w:tc>
        <w:tc>
          <w:tcPr>
            <w:tcW w:type="dxa" w:w="1531"/>
            <w:shd w:val="clear" w:color="auto" w:fill="F4F7F9"/>
            <w:vAlign w:val="center"/>
          </w:tcPr>
          <w:p>
            <w:pPr>
              <w:spacing w:after="0"/>
            </w:pPr>
          </w:p>
        </w:tc>
        <w:tc>
          <w:tcPr>
            <w:tcW w:type="dxa" w:w="1134"/>
            <w:shd w:val="clear" w:color="auto" w:fill="F4F7F9"/>
            <w:vAlign w:val="center"/>
          </w:tcPr>
          <w:p>
            <w:pPr>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One-month countdown checklist started (pclt.co.uk/downloads/one-month-go-live-countdown.docx)</w:t>
            </w:r>
          </w:p>
        </w:tc>
        <w:tc>
          <w:tcPr>
            <w:tcW w:type="dxa" w:w="907"/>
            <w:vAlign w:val="center"/>
          </w:tcPr>
          <w:p>
            <w:pPr>
              <w:spacing w:after="0"/>
            </w:pPr>
            <w:r>
              <w:rPr>
                <w:b/>
                <w:i w:val="0"/>
                <w:color w:val="237A8B"/>
                <w:sz w:val="18"/>
              </w:rPr>
              <w:t>Both</w:t>
            </w:r>
          </w:p>
        </w:tc>
        <w:tc>
          <w:tcPr>
            <w:tcW w:type="dxa" w:w="1531"/>
            <w:vAlign w:val="center"/>
          </w:tcPr>
          <w:p>
            <w:pPr>
              <w:spacing w:after="0"/>
            </w:pPr>
          </w:p>
        </w:tc>
        <w:tc>
          <w:tcPr>
            <w:tcW w:type="dxa" w:w="1134"/>
            <w:vAlign w:val="center"/>
          </w:tcPr>
          <w:p>
            <w:pPr>
              <w:spacing w:after="0"/>
            </w:pPr>
          </w:p>
        </w:tc>
      </w:tr>
    </w:tbl>
    <w:p>
      <w:pPr>
        <w:spacing w:after="120"/>
      </w:pPr>
    </w:p>
    <w:tbl>
      <w:tblPr>
        <w:tblW w:type="auto" w:w="0"/>
        <w:tblLook w:firstColumn="1" w:firstRow="1" w:lastColumn="0" w:lastRow="0" w:noHBand="0" w:noVBand="1" w:val="04A0"/>
        <w:jc w:val="center"/>
        <w:tblCellMar>
          <w:top w:w="200" w:type="dxa"/>
          <w:bottom w:w="200" w:type="dxa"/>
          <w:left w:w="260" w:type="dxa"/>
          <w:right w:w="260" w:type="dxa"/>
        </w:tblCellMar>
      </w:tblPr>
      <w:tblGrid>
        <w:gridCol w:w="9866"/>
      </w:tblGrid>
      <w:tr>
        <w:trPr>
          <w:cantSplit w:val="true"/>
        </w:trPr>
        <w:tc>
          <w:tcPr>
            <w:tcW w:type="dxa" w:w="9865"/>
            <w:shd w:val="clear" w:color="auto" w:fill="0B2545"/>
          </w:tcPr>
          <w:p>
            <w:pPr>
              <w:spacing w:after="80"/>
            </w:pPr>
            <w:r>
              <w:rPr>
                <w:b/>
                <w:i w:val="0"/>
                <w:color w:val="FFFFFF"/>
                <w:sz w:val="26"/>
              </w:rPr>
              <w:t>Planning a migration?</w:t>
            </w:r>
          </w:p>
          <w:p>
            <w:pPr>
              <w:spacing w:after="120"/>
            </w:pPr>
            <w:r>
              <w:rPr>
                <w:b w:val="0"/>
                <w:i w:val="0"/>
                <w:color w:val="FFFFFF"/>
                <w:sz w:val="20"/>
              </w:rPr>
              <w:t>We help firms plan and run their housekeeping, manage the vendor through each trial migration, and make sure every stage is signed off on evidence. Truly independent, with no vendor ties.</w:t>
            </w:r>
          </w:p>
          <w:p>
            <w:pPr>
              <w:spacing w:after="0"/>
            </w:pPr>
            <w:r>
              <w:rPr>
                <w:b/>
                <w:i w:val="0"/>
                <w:color w:val="6CC3D3"/>
                <w:sz w:val="21"/>
              </w:rPr>
              <w:t>advice@pclt.co.uk</w:t>
            </w:r>
            <w:r>
              <w:rPr>
                <w:b w:val="0"/>
                <w:i w:val="0"/>
                <w:color w:val="6CC3D3"/>
                <w:sz w:val="21"/>
              </w:rPr>
              <w:t xml:space="preserve">   |   </w:t>
            </w:r>
            <w:r>
              <w:rPr>
                <w:b/>
                <w:i w:val="0"/>
                <w:color w:val="6CC3D3"/>
                <w:sz w:val="21"/>
              </w:rPr>
              <w:t>pclt.co.uk</w:t>
            </w:r>
          </w:p>
        </w:tc>
      </w:tr>
    </w:tbl>
    <w:p>
      <w:pPr>
        <w:spacing w:before="160"/>
      </w:pPr>
      <w:r>
        <w:rPr>
          <w:b w:val="0"/>
          <w:i w:val="0"/>
          <w:color w:val="5F7A8C"/>
          <w:sz w:val="16"/>
        </w:rPr>
        <w:t>From the insight “Before you migrate: housekeeping, trial migrations and sign-off” at pclt.co.uk/insights/before-you-migrate-housekeeping-and-trial-migrations.html. General guidance only; adapt it to your own project and contracts.</w:t>
      </w:r>
    </w:p>
    <w:sectPr w:rsidR="00FC693F" w:rsidRPr="0006063C" w:rsidSect="00034616">
      <w:headerReference w:type="first" r:id="rId9"/>
      <w:headerReference w:type="default" r:id="rId10"/>
      <w:footerReference w:type="first" r:id="rId11"/>
      <w:footerReference w:type="default" r:id="rId12"/>
      <w:pgSz w:w="11906" w:h="16838"/>
      <w:pgMar w:top="1134" w:right="1020" w:bottom="1020" w:left="1020" w:header="0" w:footer="45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8" w:space="6" w:color="2A8FA3"/>
      </w:pBdr>
      <w:tabs>
        <w:tab w:pos="9866" w:val="right"/>
      </w:tabs>
    </w:pPr>
    <w:r>
      <w:rPr>
        <w:b/>
        <w:i w:val="0"/>
        <w:color w:val="0B2545"/>
        <w:sz w:val="16"/>
      </w:rPr>
      <w:t>PC Legal Technology</w:t>
    </w:r>
    <w:r>
      <w:rPr>
        <w:b w:val="0"/>
        <w:i w:val="0"/>
        <w:color w:val="5F7A8C"/>
        <w:sz w:val="16"/>
      </w:rPr>
      <w:t xml:space="preserve">  |  Independent legal technology consultancy  |  advice@pclt.co.uk  |  pclt.co.uk</w:t>
      <w:tab/>
      <w:t xml:space="preserve">Page </w:t>
    </w:r>
    <w:r>
      <w:rPr>
        <w:color w:val="5F7A8C"/>
        <w:sz w:val="16"/>
      </w:rPr>
      <w:fldChar w:fldCharType="begin"/>
    </w:r>
    <w:r>
      <w:rPr>
        <w:color w:val="5F7A8C"/>
        <w:sz w:val="16"/>
      </w:rPr>
      <w:instrText xml:space="preserve"> PAGE </w:instrText>
    </w:r>
    <w:r>
      <w:rPr>
        <w:color w:val="5F7A8C"/>
        <w:sz w:val="16"/>
      </w:rPr>
      <w:fldChar w:fldCharType="separate"/>
    </w:r>
    <w:r>
      <w:rPr>
        <w:color w:val="5F7A8C"/>
        <w:sz w:val="16"/>
      </w:rPr>
      <w:t>1</w:t>
    </w:r>
    <w:r>
      <w:rPr>
        <w:color w:val="5F7A8C"/>
        <w:sz w:val="16"/>
      </w:rPr>
      <w:fldChar w:fldCharType="end"/>
    </w:r>
    <w:r>
      <w:rPr>
        <w:b w:val="0"/>
        <w:i w:val="0"/>
        <w:color w:val="5F7A8C"/>
        <w:sz w:val="16"/>
      </w:rPr>
      <w:t xml:space="preserve"> of </w:t>
    </w:r>
    <w:r>
      <w:rPr>
        <w:color w:val="5F7A8C"/>
        <w:sz w:val="16"/>
      </w:rPr>
      <w:fldChar w:fldCharType="begin"/>
    </w:r>
    <w:r>
      <w:rPr>
        <w:color w:val="5F7A8C"/>
        <w:sz w:val="16"/>
      </w:rPr>
      <w:instrText xml:space="preserve"> NUMPAGES </w:instrText>
    </w:r>
    <w:r>
      <w:rPr>
        <w:color w:val="5F7A8C"/>
        <w:sz w:val="16"/>
      </w:rPr>
      <w:fldChar w:fldCharType="separate"/>
    </w:r>
    <w:r>
      <w:rPr>
        <w:color w:val="5F7A8C"/>
        <w:sz w:val="16"/>
      </w:rPr>
      <w:t>1</w:t>
    </w:r>
    <w:r>
      <w:rPr>
        <w:color w:val="5F7A8C"/>
        <w:sz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8" w:space="6" w:color="2A8FA3"/>
      </w:pBdr>
      <w:tabs>
        <w:tab w:pos="9866" w:val="right"/>
      </w:tabs>
    </w:pPr>
    <w:r>
      <w:rPr>
        <w:b/>
        <w:i w:val="0"/>
        <w:color w:val="0B2545"/>
        <w:sz w:val="16"/>
      </w:rPr>
      <w:t>PC Legal Technology</w:t>
    </w:r>
    <w:r>
      <w:rPr>
        <w:b w:val="0"/>
        <w:i w:val="0"/>
        <w:color w:val="5F7A8C"/>
        <w:sz w:val="16"/>
      </w:rPr>
      <w:t xml:space="preserve">  |  Independent legal technology consultancy  |  advice@pclt.co.uk  |  pclt.co.uk</w:t>
      <w:tab/>
      <w:t xml:space="preserve">Page </w:t>
    </w:r>
    <w:r>
      <w:rPr>
        <w:color w:val="5F7A8C"/>
        <w:sz w:val="16"/>
      </w:rPr>
      <w:fldChar w:fldCharType="begin"/>
    </w:r>
    <w:r>
      <w:rPr>
        <w:color w:val="5F7A8C"/>
        <w:sz w:val="16"/>
      </w:rPr>
      <w:instrText xml:space="preserve"> PAGE </w:instrText>
    </w:r>
    <w:r>
      <w:rPr>
        <w:color w:val="5F7A8C"/>
        <w:sz w:val="16"/>
      </w:rPr>
      <w:fldChar w:fldCharType="separate"/>
    </w:r>
    <w:r>
      <w:rPr>
        <w:color w:val="5F7A8C"/>
        <w:sz w:val="16"/>
      </w:rPr>
      <w:t>1</w:t>
    </w:r>
    <w:r>
      <w:rPr>
        <w:color w:val="5F7A8C"/>
        <w:sz w:val="16"/>
      </w:rPr>
      <w:fldChar w:fldCharType="end"/>
    </w:r>
    <w:r>
      <w:rPr>
        <w:b w:val="0"/>
        <w:i w:val="0"/>
        <w:color w:val="5F7A8C"/>
        <w:sz w:val="16"/>
      </w:rPr>
      <w:t xml:space="preserve"> of </w:t>
    </w:r>
    <w:r>
      <w:rPr>
        <w:color w:val="5F7A8C"/>
        <w:sz w:val="16"/>
      </w:rPr>
      <w:fldChar w:fldCharType="begin"/>
    </w:r>
    <w:r>
      <w:rPr>
        <w:color w:val="5F7A8C"/>
        <w:sz w:val="16"/>
      </w:rPr>
      <w:instrText xml:space="preserve"> NUMPAGES </w:instrText>
    </w:r>
    <w:r>
      <w:rPr>
        <w:color w:val="5F7A8C"/>
        <w:sz w:val="16"/>
      </w:rPr>
      <w:fldChar w:fldCharType="separate"/>
    </w:r>
    <w:r>
      <w:rPr>
        <w:color w:val="5F7A8C"/>
        <w:sz w:val="16"/>
      </w:rPr>
      <w:t>1</w:t>
    </w:r>
    <w:r>
      <w:rPr>
        <w:color w:val="5F7A8C"/>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left="-1020" w:right="-1020"/>
    </w:pPr>
    <w:r>
      <w:drawing>
        <wp:inline xmlns:a="http://schemas.openxmlformats.org/drawingml/2006/main" xmlns:pic="http://schemas.openxmlformats.org/drawingml/2006/picture">
          <wp:extent cx="7560310" cy="1006009"/>
          <wp:docPr id="1" name="Picture 1"/>
          <wp:cNvGraphicFramePr>
            <a:graphicFrameLocks noChangeAspect="1"/>
          </wp:cNvGraphicFramePr>
          <a:graphic>
            <a:graphicData uri="http://schemas.openxmlformats.org/drawingml/2006/picture">
              <pic:pic>
                <pic:nvPicPr>
                  <pic:cNvPr id="0" name="doc-header-large.png"/>
                  <pic:cNvPicPr/>
                </pic:nvPicPr>
                <pic:blipFill>
                  <a:blip r:embed="rId1"/>
                  <a:stretch>
                    <a:fillRect/>
                  </a:stretch>
                </pic:blipFill>
                <pic:spPr>
                  <a:xfrm>
                    <a:off x="0" y="0"/>
                    <a:ext cx="7560310" cy="1006009"/>
                  </a:xfrm>
                  <a:prstGeom prst="rect"/>
                </pic:spPr>
              </pic:pic>
            </a:graphicData>
          </a:graphic>
        </wp:inline>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left="-1020" w:right="-1020"/>
    </w:pPr>
    <w:r>
      <w:drawing>
        <wp:inline xmlns:a="http://schemas.openxmlformats.org/drawingml/2006/main" xmlns:pic="http://schemas.openxmlformats.org/drawingml/2006/picture">
          <wp:extent cx="7560310" cy="457277"/>
          <wp:docPr id="1" name="Picture 1"/>
          <wp:cNvGraphicFramePr>
            <a:graphicFrameLocks noChangeAspect="1"/>
          </wp:cNvGraphicFramePr>
          <a:graphic>
            <a:graphicData uri="http://schemas.openxmlformats.org/drawingml/2006/picture">
              <pic:pic>
                <pic:nvPicPr>
                  <pic:cNvPr id="0" name="doc-header-slim.png"/>
                  <pic:cNvPicPr/>
                </pic:nvPicPr>
                <pic:blipFill>
                  <a:blip r:embed="rId1"/>
                  <a:stretch>
                    <a:fillRect/>
                  </a:stretch>
                </pic:blipFill>
                <pic:spPr>
                  <a:xfrm>
                    <a:off x="0" y="0"/>
                    <a:ext cx="7560310" cy="457277"/>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olor w:val="3B445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you migrate: housekeeping and trial migration checklist</dc:title>
  <dc:subject/>
  <dc:creator>PC Legal Technology</dc:creator>
  <cp:keywords/>
  <dc:description>generated by python-docx</dc:description>
  <cp:lastModifiedBy/>
  <cp:revision>1</cp:revision>
  <dcterms:created xsi:type="dcterms:W3CDTF">2013-12-23T23:15:00Z</dcterms:created>
  <dcterms:modified xsi:type="dcterms:W3CDTF">2013-12-23T23:15:00Z</dcterms:modified>
  <cp:category/>
</cp:coreProperties>
</file>