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pPr>
      <w:r>
        <w:rPr>
          <w:b/>
          <w:i w:val="0"/>
          <w:color w:val="237A8B"/>
          <w:sz w:val="18"/>
          <w:spacing w:val="30"/>
        </w:rPr>
        <w:t>INDEPENDENT GUIDANCE FOR LAW FIRMS</w:t>
      </w:r>
    </w:p>
    <w:p>
      <w:pPr>
        <w:spacing w:after="120"/>
      </w:pPr>
      <w:r>
        <w:rPr>
          <w:b/>
          <w:i w:val="0"/>
          <w:color w:val="0B2545"/>
          <w:sz w:val="48"/>
        </w:rPr>
        <w:t>AML inspection readiness checklist</w:t>
      </w:r>
    </w:p>
    <w:p>
      <w:pPr>
        <w:spacing w:after="200"/>
      </w:pPr>
      <w:r>
        <w:rPr>
          <w:b w:val="0"/>
          <w:i w:val="0"/>
          <w:color w:val="3B4452"/>
          <w:sz w:val="21"/>
        </w:rPr>
        <w:t>For firms doing work in scope of the Money Laundering Regulations. Use it to check that your anti-money laundering controls are real, current and followed, and that you could evidence them to the SRA at short notice. Regulation numbers refer to the Money Laundering Regulations 2017 as amended; check the current text and SRA guidance before relying on them.</w:t>
      </w:r>
    </w:p>
    <w:tbl>
      <w:tblPr>
        <w:tblW w:type="auto" w:w="0"/>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80" w:type="dxa"/>
          <w:bottom w:w="80" w:type="dxa"/>
          <w:left w:w="120" w:type="dxa"/>
          <w:right w:w="120" w:type="dxa"/>
        </w:tblCellMar>
      </w:tblPr>
      <w:tblGrid>
        <w:gridCol w:w="3289"/>
        <w:gridCol w:w="3289"/>
        <w:gridCol w:w="3289"/>
      </w:tblGrid>
      <w:tr>
        <w:tc>
          <w:tcPr>
            <w:tcW w:type="dxa" w:w="3289"/>
            <w:shd w:val="clear" w:color="auto" w:fill="F4F7F9"/>
          </w:tcPr>
          <w:p>
            <w:r>
              <w:rPr>
                <w:b/>
                <w:i w:val="0"/>
                <w:color w:val="237A8B"/>
                <w:sz w:val="16"/>
                <w:spacing w:val="20"/>
              </w:rPr>
              <w:t>FIRM</w:t>
            </w:r>
          </w:p>
        </w:tc>
        <w:tc>
          <w:tcPr>
            <w:tcW w:type="dxa" w:w="3289"/>
            <w:shd w:val="clear" w:color="auto" w:fill="F4F7F9"/>
          </w:tcPr>
          <w:p>
            <w:r>
              <w:rPr>
                <w:b/>
                <w:i w:val="0"/>
                <w:color w:val="237A8B"/>
                <w:sz w:val="16"/>
                <w:spacing w:val="20"/>
              </w:rPr>
              <w:t>REVIEW DATE</w:t>
            </w:r>
          </w:p>
        </w:tc>
        <w:tc>
          <w:tcPr>
            <w:tcW w:type="dxa" w:w="3289"/>
            <w:shd w:val="clear" w:color="auto" w:fill="F4F7F9"/>
          </w:tcPr>
          <w:p>
            <w:r>
              <w:rPr>
                <w:b/>
                <w:i w:val="0"/>
                <w:color w:val="237A8B"/>
                <w:sz w:val="16"/>
                <w:spacing w:val="20"/>
              </w:rPr>
              <w:t>REVIEWED BY</w:t>
            </w:r>
          </w:p>
        </w:tc>
      </w:tr>
      <w:tr>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r>
    </w:tbl>
    <w:p>
      <w:pPr>
        <w:spacing w:before="80" w:after="40"/>
      </w:pPr>
      <w:r>
        <w:rPr>
          <w:b/>
          <w:i w:val="0"/>
          <w:color w:val="0B2545"/>
          <w:sz w:val="17"/>
        </w:rPr>
        <w:t xml:space="preserve">Lead:  </w:t>
      </w:r>
      <w:r>
        <w:rPr>
          <w:b/>
          <w:i w:val="0"/>
          <w:color w:val="0B2545"/>
          <w:sz w:val="17"/>
        </w:rPr>
        <w:t>MLCO</w:t>
      </w:r>
      <w:r>
        <w:rPr>
          <w:b w:val="0"/>
          <w:i w:val="0"/>
          <w:color w:val="5F7A8C"/>
          <w:sz w:val="17"/>
        </w:rPr>
        <w:t xml:space="preserve">  ·  </w:t>
      </w:r>
      <w:r>
        <w:rPr>
          <w:b/>
          <w:i w:val="0"/>
          <w:color w:val="237A8B"/>
          <w:sz w:val="17"/>
        </w:rPr>
        <w:t>MLRO</w:t>
      </w:r>
      <w:r>
        <w:rPr>
          <w:b w:val="0"/>
          <w:i w:val="0"/>
          <w:color w:val="5F7A8C"/>
          <w:sz w:val="17"/>
        </w:rPr>
        <w:t xml:space="preserve">  ·  </w:t>
      </w:r>
      <w:r>
        <w:rPr>
          <w:b/>
          <w:i w:val="0"/>
          <w:color w:val="5F7A8C"/>
          <w:sz w:val="17"/>
        </w:rPr>
        <w:t>Partners</w:t>
      </w:r>
      <w:r>
        <w:rPr>
          <w:b w:val="0"/>
          <w:i w:val="0"/>
          <w:color w:val="5F7A8C"/>
          <w:sz w:val="17"/>
        </w:rPr>
        <w:t xml:space="preserve">  ·  </w:t>
      </w:r>
      <w:r>
        <w:rPr>
          <w:b/>
          <w:i w:val="0"/>
          <w:color w:val="5F7A8C"/>
          <w:sz w:val="17"/>
        </w:rPr>
        <w:t>All staff</w:t>
      </w:r>
      <w:r>
        <w:rPr>
          <w:b w:val="0"/>
          <w:i/>
          <w:color w:val="5F7A8C"/>
          <w:sz w:val="17"/>
        </w:rPr>
        <w:t xml:space="preserve">   (who usually owns each item; senior management remains responsible)</w:t>
      </w:r>
    </w:p>
    <w:p>
      <w:pPr>
        <w:keepNext/>
        <w:spacing w:before="280" w:after="0"/>
      </w:pPr>
      <w:r>
        <w:rPr>
          <w:b/>
          <w:i w:val="0"/>
          <w:color w:val="237A8B"/>
          <w:sz w:val="17"/>
          <w:spacing w:val="30"/>
        </w:rPr>
        <w:t>THE FIRM</w:t>
      </w:r>
    </w:p>
    <w:p>
      <w:pPr>
        <w:keepNext/>
        <w:spacing w:after="20"/>
      </w:pPr>
      <w:r>
        <w:rPr>
          <w:b/>
          <w:i w:val="0"/>
          <w:color w:val="0B2545"/>
          <w:sz w:val="28"/>
        </w:rPr>
        <w:t>Firm-wide risk assessment</w:t>
      </w:r>
    </w:p>
    <w:p>
      <w:pPr>
        <w:keepNext/>
        <w:spacing w:after="100"/>
      </w:pPr>
      <w:r>
        <w:rPr>
          <w:b w:val="0"/>
          <w:i/>
          <w:color w:val="5F7A8C"/>
          <w:sz w:val="19"/>
        </w:rPr>
        <w:t>Regulations 18 and 18A. Specific to your firm, current, and available to the SRA on request.</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Written, and specific to the firm’s own clients, services, transactions, delivery channels and geography (not a generic template)</w:t>
            </w:r>
          </w:p>
        </w:tc>
        <w:tc>
          <w:tcPr>
            <w:tcW w:type="dxa" w:w="907"/>
            <w:vAlign w:val="center"/>
          </w:tcPr>
          <w:p>
            <w:pPr>
              <w:keepNext/>
              <w:spacing w:after="0"/>
            </w:pPr>
            <w:r>
              <w:rPr>
                <w:b/>
                <w:i w:val="0"/>
                <w:color w:val="0B2545"/>
                <w:sz w:val="18"/>
              </w:rPr>
              <w:t>MLCO</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Takes account of the SRA’s sector risk assessment and the national risk assessment</w:t>
            </w:r>
          </w:p>
        </w:tc>
        <w:tc>
          <w:tcPr>
            <w:tcW w:type="dxa" w:w="907"/>
            <w:shd w:val="clear" w:color="auto" w:fill="F4F7F9"/>
            <w:vAlign w:val="center"/>
          </w:tcPr>
          <w:p>
            <w:pPr>
              <w:keepNext/>
              <w:spacing w:after="0"/>
            </w:pPr>
            <w:r>
              <w:rPr>
                <w:b/>
                <w:i w:val="0"/>
                <w:color w:val="0B2545"/>
                <w:sz w:val="18"/>
              </w:rPr>
              <w:t>MLCO</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Includes proliferation financing risk</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Tested against live data: client types, matter types, values, jurisdictions and risk ratings</w:t>
            </w:r>
          </w:p>
        </w:tc>
        <w:tc>
          <w:tcPr>
            <w:tcW w:type="dxa" w:w="907"/>
            <w:shd w:val="clear" w:color="auto" w:fill="F4F7F9"/>
            <w:vAlign w:val="center"/>
          </w:tcPr>
          <w:p>
            <w:pPr>
              <w:spacing w:after="0"/>
            </w:pPr>
            <w:r>
              <w:rPr>
                <w:b/>
                <w:i w:val="0"/>
                <w:color w:val="0B2545"/>
                <w:sz w:val="18"/>
              </w:rPr>
              <w:t>MLCO</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Reviewed regularly and whenever the firm’s work changes; each review recorded and approved</w:t>
            </w:r>
          </w:p>
        </w:tc>
        <w:tc>
          <w:tcPr>
            <w:tcW w:type="dxa" w:w="907"/>
            <w:vAlign w:val="center"/>
          </w:tcPr>
          <w:p>
            <w:pPr>
              <w:spacing w:after="0"/>
            </w:pPr>
            <w:r>
              <w:rPr>
                <w:b/>
                <w:i w:val="0"/>
                <w:color w:val="5F7A8C"/>
                <w:sz w:val="18"/>
              </w:rPr>
              <w:t>Partners</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THE RULEBOOK</w:t>
      </w:r>
    </w:p>
    <w:p>
      <w:pPr>
        <w:keepNext/>
        <w:spacing w:after="20"/>
      </w:pPr>
      <w:r>
        <w:rPr>
          <w:b/>
          <w:i w:val="0"/>
          <w:color w:val="0B2545"/>
          <w:sz w:val="28"/>
        </w:rPr>
        <w:t>Policies, controls and procedures</w:t>
      </w:r>
    </w:p>
    <w:p>
      <w:pPr>
        <w:keepNext/>
        <w:spacing w:after="100"/>
      </w:pPr>
      <w:r>
        <w:rPr>
          <w:b w:val="0"/>
          <w:i/>
          <w:color w:val="5F7A8C"/>
          <w:sz w:val="19"/>
        </w:rPr>
        <w:t>Regulation 19. Approved by senior management and proportionate to the risks you identified.</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Written and approved by senior management; version controlled</w:t>
            </w:r>
          </w:p>
        </w:tc>
        <w:tc>
          <w:tcPr>
            <w:tcW w:type="dxa" w:w="907"/>
            <w:vAlign w:val="center"/>
          </w:tcPr>
          <w:p>
            <w:pPr>
              <w:keepNext/>
              <w:spacing w:after="0"/>
            </w:pPr>
            <w:r>
              <w:rPr>
                <w:b/>
                <w:i w:val="0"/>
                <w:color w:val="5F7A8C"/>
                <w:sz w:val="18"/>
              </w:rPr>
              <w:t>Partners</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Cover customer due diligence, enhanced due diligence, PEPs, sanctions, source of funds and wealth, reporting and record keeping</w:t>
            </w:r>
          </w:p>
        </w:tc>
        <w:tc>
          <w:tcPr>
            <w:tcW w:type="dxa" w:w="907"/>
            <w:shd w:val="clear" w:color="auto" w:fill="F4F7F9"/>
            <w:vAlign w:val="center"/>
          </w:tcPr>
          <w:p>
            <w:pPr>
              <w:keepNext/>
              <w:spacing w:after="0"/>
            </w:pPr>
            <w:r>
              <w:rPr>
                <w:b/>
                <w:i w:val="0"/>
                <w:color w:val="0B2545"/>
                <w:sz w:val="18"/>
              </w:rPr>
              <w:t>MLCO</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Include reporting discrepancies to Companies House</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Staff have acknowledged the current version, with dates recorded</w:t>
            </w:r>
          </w:p>
        </w:tc>
        <w:tc>
          <w:tcPr>
            <w:tcW w:type="dxa" w:w="907"/>
            <w:shd w:val="clear" w:color="auto" w:fill="F4F7F9"/>
            <w:vAlign w:val="center"/>
          </w:tcPr>
          <w:p>
            <w:pPr>
              <w:spacing w:after="0"/>
            </w:pPr>
            <w:r>
              <w:rPr>
                <w:b/>
                <w:i w:val="0"/>
                <w:color w:val="5F7A8C"/>
                <w:sz w:val="18"/>
              </w:rPr>
              <w:t>All staff</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Each policy links to the assessments and controls it governs</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EVERY MATTER</w:t>
      </w:r>
    </w:p>
    <w:p>
      <w:pPr>
        <w:keepNext/>
        <w:spacing w:after="20"/>
      </w:pPr>
      <w:r>
        <w:rPr>
          <w:b/>
          <w:i w:val="0"/>
          <w:color w:val="0B2545"/>
          <w:sz w:val="28"/>
        </w:rPr>
        <w:t>Client and matter risk assessments</w:t>
      </w:r>
    </w:p>
    <w:p>
      <w:pPr>
        <w:keepNext/>
        <w:spacing w:after="100"/>
      </w:pPr>
      <w:r>
        <w:rPr>
          <w:b w:val="0"/>
          <w:i/>
          <w:color w:val="5F7A8C"/>
          <w:sz w:val="19"/>
        </w:rPr>
        <w:t>The most common cause of SRA referrals. Assess money laundering risk, not operational risk.</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Every in-scope matter has a client and matter risk assessment, completed at opening</w:t>
            </w:r>
          </w:p>
        </w:tc>
        <w:tc>
          <w:tcPr>
            <w:tcW w:type="dxa" w:w="907"/>
            <w:vAlign w:val="center"/>
          </w:tcPr>
          <w:p>
            <w:pPr>
              <w:keepNext/>
              <w:spacing w:after="0"/>
            </w:pPr>
            <w:r>
              <w:rPr>
                <w:b/>
                <w:i w:val="0"/>
                <w:color w:val="5F7A8C"/>
                <w:sz w:val="18"/>
              </w:rPr>
              <w:t>All staff</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The questions assess money laundering risk: client, service, transaction, delivery channel, geography, source of funds</w:t>
            </w:r>
          </w:p>
        </w:tc>
        <w:tc>
          <w:tcPr>
            <w:tcW w:type="dxa" w:w="907"/>
            <w:shd w:val="clear" w:color="auto" w:fill="F4F7F9"/>
            <w:vAlign w:val="center"/>
          </w:tcPr>
          <w:p>
            <w:pPr>
              <w:keepNext/>
              <w:spacing w:after="0"/>
            </w:pPr>
            <w:r>
              <w:rPr>
                <w:b/>
                <w:i w:val="0"/>
                <w:color w:val="0B2545"/>
                <w:sz w:val="18"/>
              </w:rPr>
              <w:t>MLCO</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 matter cannot proceed until the assessment and the checks it requires are complete</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The risk rating sets the due diligence, approvals and supervision required</w:t>
            </w:r>
          </w:p>
        </w:tc>
        <w:tc>
          <w:tcPr>
            <w:tcW w:type="dxa" w:w="907"/>
            <w:shd w:val="clear" w:color="auto" w:fill="F4F7F9"/>
            <w:vAlign w:val="center"/>
          </w:tcPr>
          <w:p>
            <w:pPr>
              <w:spacing w:after="0"/>
            </w:pPr>
            <w:r>
              <w:rPr>
                <w:b/>
                <w:i w:val="0"/>
                <w:color w:val="0B2545"/>
                <w:sz w:val="18"/>
              </w:rPr>
              <w:t>MLCO</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Source of funds and wealth checked where required, and the documents actually scrutinised and recorded</w:t>
            </w:r>
          </w:p>
        </w:tc>
        <w:tc>
          <w:tcPr>
            <w:tcW w:type="dxa" w:w="907"/>
            <w:vAlign w:val="center"/>
          </w:tcPr>
          <w:p>
            <w:pPr>
              <w:spacing w:after="0"/>
            </w:pPr>
            <w:r>
              <w:rPr>
                <w:b/>
                <w:i w:val="0"/>
                <w:color w:val="5F7A8C"/>
                <w:sz w:val="18"/>
              </w:rPr>
              <w:t>All staff</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Assessments updated when the matter or the client’s circumstances change</w:t>
            </w:r>
          </w:p>
        </w:tc>
        <w:tc>
          <w:tcPr>
            <w:tcW w:type="dxa" w:w="907"/>
            <w:shd w:val="clear" w:color="auto" w:fill="F4F7F9"/>
            <w:vAlign w:val="center"/>
          </w:tcPr>
          <w:p>
            <w:pPr>
              <w:spacing w:after="0"/>
            </w:pPr>
            <w:r>
              <w:rPr>
                <w:b/>
                <w:i w:val="0"/>
                <w:color w:val="5F7A8C"/>
                <w:sz w:val="18"/>
              </w:rPr>
              <w:t>All staff</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PEOPLE AND CONTROLS</w:t>
      </w:r>
    </w:p>
    <w:p>
      <w:pPr>
        <w:keepNext/>
        <w:spacing w:after="20"/>
      </w:pPr>
      <w:r>
        <w:rPr>
          <w:b/>
          <w:i w:val="0"/>
          <w:color w:val="0B2545"/>
          <w:sz w:val="28"/>
        </w:rPr>
        <w:t>People and internal controls</w:t>
      </w:r>
    </w:p>
    <w:p>
      <w:pPr>
        <w:keepNext/>
        <w:spacing w:after="100"/>
      </w:pPr>
      <w:r>
        <w:rPr>
          <w:b w:val="0"/>
          <w:i/>
          <w:color w:val="5F7A8C"/>
          <w:sz w:val="19"/>
        </w:rPr>
        <w:t>Regulations 21 and 24.</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Compliance officer (MLCO) and nominated officer (MLRO) appointed and approved</w:t>
            </w:r>
          </w:p>
        </w:tc>
        <w:tc>
          <w:tcPr>
            <w:tcW w:type="dxa" w:w="907"/>
            <w:vAlign w:val="center"/>
          </w:tcPr>
          <w:p>
            <w:pPr>
              <w:keepNext/>
              <w:spacing w:after="0"/>
            </w:pPr>
            <w:r>
              <w:rPr>
                <w:b/>
                <w:i w:val="0"/>
                <w:color w:val="5F7A8C"/>
                <w:sz w:val="18"/>
              </w:rPr>
              <w:t>Partners</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Relevant staff screened before appointment and during employment</w:t>
            </w:r>
          </w:p>
        </w:tc>
        <w:tc>
          <w:tcPr>
            <w:tcW w:type="dxa" w:w="907"/>
            <w:shd w:val="clear" w:color="auto" w:fill="F4F7F9"/>
            <w:vAlign w:val="center"/>
          </w:tcPr>
          <w:p>
            <w:pPr>
              <w:keepNext/>
              <w:spacing w:after="0"/>
            </w:pPr>
            <w:r>
              <w:rPr>
                <w:b/>
                <w:i w:val="0"/>
                <w:color w:val="5F7A8C"/>
                <w:sz w:val="18"/>
              </w:rPr>
              <w:t>Partners</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Training by role, refreshed regularly, with records of who completed what and when</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Internal reports to the MLRO recorded, with each decision and its reasons</w:t>
            </w:r>
          </w:p>
        </w:tc>
        <w:tc>
          <w:tcPr>
            <w:tcW w:type="dxa" w:w="907"/>
            <w:shd w:val="clear" w:color="auto" w:fill="F4F7F9"/>
            <w:vAlign w:val="center"/>
          </w:tcPr>
          <w:p>
            <w:pPr>
              <w:spacing w:after="0"/>
            </w:pPr>
            <w:r>
              <w:rPr>
                <w:b/>
                <w:i w:val="0"/>
                <w:color w:val="237A8B"/>
                <w:sz w:val="18"/>
              </w:rPr>
              <w:t>MLRO</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TESTING</w:t>
      </w:r>
    </w:p>
    <w:p>
      <w:pPr>
        <w:keepNext/>
        <w:spacing w:after="20"/>
      </w:pPr>
      <w:r>
        <w:rPr>
          <w:b/>
          <w:i w:val="0"/>
          <w:color w:val="0B2545"/>
          <w:sz w:val="28"/>
        </w:rPr>
        <w:t>Independent audit</w:t>
      </w:r>
    </w:p>
    <w:p>
      <w:pPr>
        <w:keepNext/>
        <w:spacing w:after="100"/>
      </w:pPr>
      <w:r>
        <w:rPr>
          <w:b w:val="0"/>
          <w:i/>
          <w:color w:val="5F7A8C"/>
          <w:sz w:val="19"/>
        </w:rPr>
        <w:t>Regulation 21, where appropriate to the size and nature of the firm.</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Independent audit carried out, and recently</w:t>
            </w:r>
          </w:p>
        </w:tc>
        <w:tc>
          <w:tcPr>
            <w:tcW w:type="dxa" w:w="907"/>
            <w:vAlign w:val="center"/>
          </w:tcPr>
          <w:p>
            <w:pPr>
              <w:keepNext/>
              <w:spacing w:after="0"/>
            </w:pPr>
            <w:r>
              <w:rPr>
                <w:b/>
                <w:i w:val="0"/>
                <w:color w:val="5F7A8C"/>
                <w:sz w:val="18"/>
              </w:rPr>
              <w:t>Partners</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The audit includes file reviews, not just a review of policies</w:t>
            </w:r>
          </w:p>
        </w:tc>
        <w:tc>
          <w:tcPr>
            <w:tcW w:type="dxa" w:w="907"/>
            <w:shd w:val="clear" w:color="auto" w:fill="F4F7F9"/>
            <w:vAlign w:val="center"/>
          </w:tcPr>
          <w:p>
            <w:pPr>
              <w:keepNext/>
              <w:spacing w:after="0"/>
            </w:pPr>
            <w:r>
              <w:rPr>
                <w:b/>
                <w:i w:val="0"/>
                <w:color w:val="0B2545"/>
                <w:sz w:val="18"/>
              </w:rPr>
              <w:t>MLCO</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Findings have owners and dates, and are tracked to completion</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ON REQUEST</w:t>
      </w:r>
    </w:p>
    <w:p>
      <w:pPr>
        <w:keepNext/>
        <w:spacing w:after="20"/>
      </w:pPr>
      <w:r>
        <w:rPr>
          <w:b/>
          <w:i w:val="0"/>
          <w:color w:val="0B2545"/>
          <w:sz w:val="28"/>
        </w:rPr>
        <w:t>Evidence on request</w:t>
      </w:r>
    </w:p>
    <w:p>
      <w:pPr>
        <w:keepNext/>
        <w:spacing w:after="100"/>
      </w:pPr>
      <w:r>
        <w:rPr>
          <w:b w:val="0"/>
          <w:i/>
          <w:color w:val="5F7A8C"/>
          <w:sz w:val="19"/>
        </w:rPr>
        <w:t>Could you produce all of this within a day?</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Current firm-wide risk assessment and its review history</w:t>
            </w:r>
          </w:p>
        </w:tc>
        <w:tc>
          <w:tcPr>
            <w:tcW w:type="dxa" w:w="907"/>
            <w:vAlign w:val="center"/>
          </w:tcPr>
          <w:p>
            <w:pPr>
              <w:keepNext/>
              <w:spacing w:after="0"/>
            </w:pPr>
            <w:r>
              <w:rPr>
                <w:b/>
                <w:i w:val="0"/>
                <w:color w:val="0B2545"/>
                <w:sz w:val="18"/>
              </w:rPr>
              <w:t>MLCO</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Current policies, controls and procedures, with approvals and acknowledgements</w:t>
            </w:r>
          </w:p>
        </w:tc>
        <w:tc>
          <w:tcPr>
            <w:tcW w:type="dxa" w:w="907"/>
            <w:shd w:val="clear" w:color="auto" w:fill="F4F7F9"/>
            <w:vAlign w:val="center"/>
          </w:tcPr>
          <w:p>
            <w:pPr>
              <w:keepNext/>
              <w:spacing w:after="0"/>
            </w:pPr>
            <w:r>
              <w:rPr>
                <w:b/>
                <w:i w:val="0"/>
                <w:color w:val="0B2545"/>
                <w:sz w:val="18"/>
              </w:rPr>
              <w:t>MLCO</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 sample of client and matter risk assessments with their ID, AML and source of funds evidence</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Training records for all relevant staff</w:t>
            </w:r>
          </w:p>
        </w:tc>
        <w:tc>
          <w:tcPr>
            <w:tcW w:type="dxa" w:w="907"/>
            <w:shd w:val="clear" w:color="auto" w:fill="F4F7F9"/>
            <w:vAlign w:val="center"/>
          </w:tcPr>
          <w:p>
            <w:pPr>
              <w:spacing w:after="0"/>
            </w:pPr>
            <w:r>
              <w:rPr>
                <w:b/>
                <w:i w:val="0"/>
                <w:color w:val="0B2545"/>
                <w:sz w:val="18"/>
              </w:rPr>
              <w:t>MLCO</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The last independent audit report and the actions taken</w:t>
            </w:r>
          </w:p>
        </w:tc>
        <w:tc>
          <w:tcPr>
            <w:tcW w:type="dxa" w:w="907"/>
            <w:vAlign w:val="center"/>
          </w:tcPr>
          <w:p>
            <w:pPr>
              <w:spacing w:after="0"/>
            </w:pPr>
            <w:r>
              <w:rPr>
                <w:b/>
                <w:i w:val="0"/>
                <w:color w:val="0B2545"/>
                <w:sz w:val="18"/>
              </w:rPr>
              <w:t>MLCO</w:t>
            </w:r>
          </w:p>
        </w:tc>
        <w:tc>
          <w:tcPr>
            <w:tcW w:type="dxa" w:w="1531"/>
            <w:vAlign w:val="center"/>
          </w:tcPr>
          <w:p>
            <w:pPr>
              <w:spacing w:after="0"/>
            </w:pPr>
          </w:p>
        </w:tc>
        <w:tc>
          <w:tcPr>
            <w:tcW w:type="dxa" w:w="1134"/>
            <w:vAlign w:val="center"/>
          </w:tcPr>
          <w:p>
            <w:pPr>
              <w:spacing w:after="0"/>
            </w:pPr>
          </w:p>
        </w:tc>
      </w:tr>
    </w:tbl>
    <w:p>
      <w:pPr>
        <w:spacing w:after="120"/>
      </w:pPr>
    </w:p>
    <w:tbl>
      <w:tblPr>
        <w:tblW w:type="auto" w:w="0"/>
        <w:tblLook w:firstColumn="1" w:firstRow="1" w:lastColumn="0" w:lastRow="0" w:noHBand="0" w:noVBand="1" w:val="04A0"/>
        <w:jc w:val="center"/>
        <w:tblCellMar>
          <w:top w:w="200" w:type="dxa"/>
          <w:bottom w:w="200" w:type="dxa"/>
          <w:left w:w="260" w:type="dxa"/>
          <w:right w:w="260" w:type="dxa"/>
        </w:tblCellMar>
      </w:tblPr>
      <w:tblGrid>
        <w:gridCol w:w="9866"/>
      </w:tblGrid>
      <w:tr>
        <w:trPr>
          <w:cantSplit w:val="true"/>
        </w:trPr>
        <w:tc>
          <w:tcPr>
            <w:tcW w:type="dxa" w:w="9865"/>
            <w:shd w:val="clear" w:color="auto" w:fill="0B2545"/>
          </w:tcPr>
          <w:p>
            <w:pPr>
              <w:spacing w:after="80"/>
            </w:pPr>
            <w:r>
              <w:rPr>
                <w:b/>
                <w:i w:val="0"/>
                <w:color w:val="FFFFFF"/>
                <w:sz w:val="26"/>
              </w:rPr>
              <w:t>Want an independent view before the SRA calls?</w:t>
            </w:r>
          </w:p>
          <w:p>
            <w:pPr>
              <w:spacing w:after="120"/>
            </w:pPr>
            <w:r>
              <w:rPr>
                <w:b w:val="0"/>
                <w:i w:val="0"/>
                <w:color w:val="FFFFFF"/>
                <w:sz w:val="20"/>
              </w:rPr>
              <w:t>We help firms build anti-money laundering controls into onboarding and matter opening, connect the systems involved, and choose between built-in features and specialist platforms. Truly independent, with no vendor ties.</w:t>
            </w:r>
          </w:p>
          <w:p>
            <w:pPr>
              <w:spacing w:after="0"/>
            </w:pPr>
            <w:r>
              <w:rPr>
                <w:b/>
                <w:i w:val="0"/>
                <w:color w:val="6CC3D3"/>
                <w:sz w:val="21"/>
              </w:rPr>
              <w:t>advice@pclt.co.uk</w:t>
            </w:r>
            <w:r>
              <w:rPr>
                <w:b w:val="0"/>
                <w:i w:val="0"/>
                <w:color w:val="6CC3D3"/>
                <w:sz w:val="21"/>
              </w:rPr>
              <w:t xml:space="preserve">   |   </w:t>
            </w:r>
            <w:r>
              <w:rPr>
                <w:b/>
                <w:i w:val="0"/>
                <w:color w:val="6CC3D3"/>
                <w:sz w:val="21"/>
              </w:rPr>
              <w:t>pclt.co.uk</w:t>
            </w:r>
          </w:p>
        </w:tc>
      </w:tr>
    </w:tbl>
    <w:p>
      <w:pPr>
        <w:spacing w:before="160"/>
      </w:pPr>
      <w:r>
        <w:rPr>
          <w:b w:val="0"/>
          <w:i w:val="0"/>
          <w:color w:val="5F7A8C"/>
          <w:sz w:val="16"/>
        </w:rPr>
        <w:t>From the insight “Your firm-wide risk assessment: from a document to a living system” at pclt.co.uk/insights/firm-wide-risk-assessment-from-document-to-living-system.html. General guidance only, not legal advice; check the current Regulations, the SRA’s guidance and its sector risk assessment.</w:t>
      </w:r>
    </w:p>
    <w:sectPr w:rsidR="00FC693F" w:rsidRPr="0006063C" w:rsidSect="00034616">
      <w:headerReference w:type="first" r:id="rId9"/>
      <w:headerReference w:type="default" r:id="rId10"/>
      <w:footerReference w:type="first" r:id="rId11"/>
      <w:footerReference w:type="default" r:id="rId12"/>
      <w:pgSz w:w="11906" w:h="16838"/>
      <w:pgMar w:top="1134" w:right="1020" w:bottom="1020" w:left="1020" w:header="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1006009"/>
          <wp:docPr id="1" name="Picture 1"/>
          <wp:cNvGraphicFramePr>
            <a:graphicFrameLocks noChangeAspect="1"/>
          </wp:cNvGraphicFramePr>
          <a:graphic>
            <a:graphicData uri="http://schemas.openxmlformats.org/drawingml/2006/picture">
              <pic:pic>
                <pic:nvPicPr>
                  <pic:cNvPr id="0" name="doc-header-large.png"/>
                  <pic:cNvPicPr/>
                </pic:nvPicPr>
                <pic:blipFill>
                  <a:blip r:embed="rId1"/>
                  <a:stretch>
                    <a:fillRect/>
                  </a:stretch>
                </pic:blipFill>
                <pic:spPr>
                  <a:xfrm>
                    <a:off x="0" y="0"/>
                    <a:ext cx="7560310" cy="1006009"/>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457277"/>
          <wp:docPr id="1" name="Picture 1"/>
          <wp:cNvGraphicFramePr>
            <a:graphicFrameLocks noChangeAspect="1"/>
          </wp:cNvGraphicFramePr>
          <a:graphic>
            <a:graphicData uri="http://schemas.openxmlformats.org/drawingml/2006/picture">
              <pic:pic>
                <pic:nvPicPr>
                  <pic:cNvPr id="0" name="doc-header-slim.png"/>
                  <pic:cNvPicPr/>
                </pic:nvPicPr>
                <pic:blipFill>
                  <a:blip r:embed="rId1"/>
                  <a:stretch>
                    <a:fillRect/>
                  </a:stretch>
                </pic:blipFill>
                <pic:spPr>
                  <a:xfrm>
                    <a:off x="0" y="0"/>
                    <a:ext cx="7560310" cy="45727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3B445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inspection readiness checklist</dc:title>
  <dc:subject/>
  <dc:creator>PC Legal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