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40"/>
      </w:pPr>
      <w:r>
        <w:rPr>
          <w:b/>
          <w:i w:val="0"/>
          <w:color w:val="237A8B"/>
          <w:sz w:val="18"/>
          <w:spacing w:val="30"/>
        </w:rPr>
        <w:t>INDEPENDENT GUIDANCE FOR LAW FIRMS</w:t>
      </w:r>
    </w:p>
    <w:p>
      <w:pPr>
        <w:spacing w:after="120"/>
      </w:pPr>
      <w:r>
        <w:rPr>
          <w:b/>
          <w:i w:val="0"/>
          <w:color w:val="0B2545"/>
          <w:sz w:val="48"/>
        </w:rPr>
        <w:t>AI and your client data: questions before you choose a system</w:t>
      </w:r>
    </w:p>
    <w:p>
      <w:pPr>
        <w:spacing w:after="200"/>
      </w:pPr>
      <w:r>
        <w:rPr>
          <w:b w:val="0"/>
          <w:i w:val="0"/>
          <w:color w:val="3B4452"/>
          <w:sz w:val="21"/>
        </w:rPr>
        <w:t>For COLPs, managing partners and business owners choosing or renewing a practice management, document or other core system. Every supplier is now adding AI to its product. Under the SRA’s rules the firm, not the supplier, stays accountable for what happens to client information, so these are the questions to have answered, in writing, before you sign. You do not need to be technical: ask suppliers to show you, not just tell you.</w:t>
      </w:r>
    </w:p>
    <w:tbl>
      <w:tblPr>
        <w:tblW w:type="auto" w:w="0"/>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80" w:type="dxa"/>
          <w:bottom w:w="80" w:type="dxa"/>
          <w:left w:w="120" w:type="dxa"/>
          <w:right w:w="120" w:type="dxa"/>
        </w:tblCellMar>
      </w:tblPr>
      <w:tblGrid>
        <w:gridCol w:w="3289"/>
        <w:gridCol w:w="3289"/>
        <w:gridCol w:w="3289"/>
      </w:tblGrid>
      <w:tr>
        <w:tc>
          <w:tcPr>
            <w:tcW w:type="dxa" w:w="3289"/>
            <w:shd w:val="clear" w:color="auto" w:fill="F4F7F9"/>
          </w:tcPr>
          <w:p>
            <w:r>
              <w:rPr>
                <w:b/>
                <w:i w:val="0"/>
                <w:color w:val="237A8B"/>
                <w:sz w:val="16"/>
                <w:spacing w:val="20"/>
              </w:rPr>
              <w:t>FIRM</w:t>
            </w:r>
          </w:p>
        </w:tc>
        <w:tc>
          <w:tcPr>
            <w:tcW w:type="dxa" w:w="3289"/>
            <w:shd w:val="clear" w:color="auto" w:fill="F4F7F9"/>
          </w:tcPr>
          <w:p>
            <w:r>
              <w:rPr>
                <w:b/>
                <w:i w:val="0"/>
                <w:color w:val="237A8B"/>
                <w:sz w:val="16"/>
                <w:spacing w:val="20"/>
              </w:rPr>
              <w:t>SYSTEM AND SUPPLIER</w:t>
            </w:r>
          </w:p>
        </w:tc>
        <w:tc>
          <w:tcPr>
            <w:tcW w:type="dxa" w:w="3289"/>
            <w:shd w:val="clear" w:color="auto" w:fill="F4F7F9"/>
          </w:tcPr>
          <w:p>
            <w:r>
              <w:rPr>
                <w:b/>
                <w:i w:val="0"/>
                <w:color w:val="237A8B"/>
                <w:sz w:val="16"/>
                <w:spacing w:val="20"/>
              </w:rPr>
              <w:t>REVIEWED BY AND DATE</w:t>
            </w:r>
          </w:p>
        </w:tc>
      </w:tr>
      <w:tr>
        <w:tc>
          <w:tcPr>
            <w:tcW w:type="dxa" w:w="3289"/>
            <w:shd w:val="clear" w:color="auto" w:fill="F4F7F9"/>
          </w:tcPr>
          <w:p>
            <w:r>
              <w:rPr>
                <w:b w:val="0"/>
                <w:i w:val="0"/>
                <w:sz w:val="22"/>
              </w:rPr>
              <w:t xml:space="preserve"> </w:t>
            </w:r>
          </w:p>
        </w:tc>
        <w:tc>
          <w:tcPr>
            <w:tcW w:type="dxa" w:w="3289"/>
            <w:shd w:val="clear" w:color="auto" w:fill="F4F7F9"/>
          </w:tcPr>
          <w:p>
            <w:r>
              <w:rPr>
                <w:b w:val="0"/>
                <w:i w:val="0"/>
                <w:sz w:val="22"/>
              </w:rPr>
              <w:t xml:space="preserve"> </w:t>
            </w:r>
          </w:p>
        </w:tc>
        <w:tc>
          <w:tcPr>
            <w:tcW w:type="dxa" w:w="3289"/>
            <w:shd w:val="clear" w:color="auto" w:fill="F4F7F9"/>
          </w:tcPr>
          <w:p>
            <w:r>
              <w:rPr>
                <w:b w:val="0"/>
                <w:i w:val="0"/>
                <w:sz w:val="22"/>
              </w:rPr>
              <w:t xml:space="preserve"> </w:t>
            </w:r>
          </w:p>
        </w:tc>
      </w:tr>
    </w:tbl>
    <w:p>
      <w:pPr>
        <w:spacing w:before="80" w:after="40"/>
      </w:pPr>
      <w:r>
        <w:rPr>
          <w:b/>
          <w:i w:val="0"/>
          <w:color w:val="0B2545"/>
          <w:sz w:val="17"/>
        </w:rPr>
        <w:t xml:space="preserve">Lead:  </w:t>
      </w:r>
      <w:r>
        <w:rPr>
          <w:b/>
          <w:i w:val="0"/>
          <w:color w:val="5F7A8C"/>
          <w:sz w:val="17"/>
        </w:rPr>
        <w:t>Vendor</w:t>
      </w:r>
      <w:r>
        <w:rPr>
          <w:b w:val="0"/>
          <w:i w:val="0"/>
          <w:color w:val="5F7A8C"/>
          <w:sz w:val="17"/>
        </w:rPr>
        <w:t xml:space="preserve">  ·  </w:t>
      </w:r>
      <w:r>
        <w:rPr>
          <w:b/>
          <w:i w:val="0"/>
          <w:color w:val="0B2545"/>
          <w:sz w:val="17"/>
        </w:rPr>
        <w:t>Firm</w:t>
      </w:r>
      <w:r>
        <w:rPr>
          <w:b w:val="0"/>
          <w:i w:val="0"/>
          <w:color w:val="5F7A8C"/>
          <w:sz w:val="17"/>
        </w:rPr>
        <w:t xml:space="preserve">  ·  </w:t>
      </w:r>
      <w:r>
        <w:rPr>
          <w:b/>
          <w:i w:val="0"/>
          <w:color w:val="237A8B"/>
          <w:sz w:val="17"/>
        </w:rPr>
        <w:t>Both</w:t>
      </w:r>
      <w:r>
        <w:rPr>
          <w:b w:val="0"/>
          <w:i/>
          <w:color w:val="5F7A8C"/>
          <w:sz w:val="17"/>
        </w:rPr>
        <w:t xml:space="preserve">   (Vendor: ask the supplier to show you. Firm: decide and record it yourselves. Both: test it together)</w:t>
      </w:r>
    </w:p>
    <w:p>
      <w:pPr>
        <w:keepNext/>
        <w:spacing w:before="280" w:after="0"/>
      </w:pPr>
      <w:r>
        <w:rPr>
          <w:b/>
          <w:i w:val="0"/>
          <w:color w:val="237A8B"/>
          <w:sz w:val="17"/>
          <w:spacing w:val="30"/>
        </w:rPr>
        <w:t>CONFIDENTIALITY</w:t>
      </w:r>
    </w:p>
    <w:p>
      <w:pPr>
        <w:keepNext/>
        <w:spacing w:after="20"/>
      </w:pPr>
      <w:r>
        <w:rPr>
          <w:b/>
          <w:i w:val="0"/>
          <w:color w:val="0B2545"/>
          <w:sz w:val="28"/>
        </w:rPr>
        <w:t>Client confidentiality</w:t>
      </w:r>
    </w:p>
    <w:p>
      <w:pPr>
        <w:keepNext/>
        <w:spacing w:after="100"/>
      </w:pPr>
      <w:r>
        <w:rPr>
          <w:b w:val="0"/>
          <w:i/>
          <w:color w:val="5F7A8C"/>
          <w:sz w:val="19"/>
        </w:rPr>
        <w:t>The SRA expects client data to stay in a secure environment and not be used to train AI without explicit authority.</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Which AI company processes our clients’ information, and in which country</w:t>
            </w:r>
          </w:p>
        </w:tc>
        <w:tc>
          <w:tcPr>
            <w:tcW w:type="dxa" w:w="907"/>
            <w:vAlign w:val="center"/>
          </w:tcPr>
          <w:p>
            <w:pPr>
              <w:keepNext/>
              <w:spacing w:after="0"/>
            </w:pPr>
            <w:r>
              <w:rPr>
                <w:b/>
                <w:i w:val="0"/>
                <w:color w:val="5F7A8C"/>
                <w:sz w:val="18"/>
              </w:rPr>
              <w:t>Vendor</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A written commitment that our data is never used to train AI, and is not kept longer than needed</w:t>
            </w:r>
          </w:p>
        </w:tc>
        <w:tc>
          <w:tcPr>
            <w:tcW w:type="dxa" w:w="907"/>
            <w:shd w:val="clear" w:color="auto" w:fill="F4F7F9"/>
            <w:vAlign w:val="center"/>
          </w:tcPr>
          <w:p>
            <w:pPr>
              <w:keepNext/>
              <w:spacing w:after="0"/>
            </w:pPr>
            <w:r>
              <w:rPr>
                <w:b/>
                <w:i w:val="0"/>
                <w:color w:val="5F7A8C"/>
                <w:sz w:val="18"/>
              </w:rPr>
              <w:t>Vendor</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AI is covered in the contract and data processing agreement, with every company involved named</w:t>
            </w:r>
          </w:p>
        </w:tc>
        <w:tc>
          <w:tcPr>
            <w:tcW w:type="dxa" w:w="907"/>
            <w:vAlign w:val="center"/>
          </w:tcPr>
          <w:p>
            <w:pPr>
              <w:spacing w:after="0"/>
            </w:pPr>
            <w:r>
              <w:rPr>
                <w:b/>
                <w:i w:val="0"/>
                <w:color w:val="5F7A8C"/>
                <w:sz w:val="18"/>
              </w:rPr>
              <w:t>Vendor</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We can switch AI off for the whole firm, or for particular clients or matters</w:t>
            </w:r>
          </w:p>
        </w:tc>
        <w:tc>
          <w:tcPr>
            <w:tcW w:type="dxa" w:w="907"/>
            <w:shd w:val="clear" w:color="auto" w:fill="F4F7F9"/>
            <w:vAlign w:val="center"/>
          </w:tcPr>
          <w:p>
            <w:pPr>
              <w:spacing w:after="0"/>
            </w:pPr>
            <w:r>
              <w:rPr>
                <w:b/>
                <w:i w:val="0"/>
                <w:color w:val="5F7A8C"/>
                <w:sz w:val="18"/>
              </w:rPr>
              <w:t>Vendor</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bl>
    <w:p>
      <w:pPr>
        <w:keepNext/>
        <w:spacing w:before="280" w:after="0"/>
      </w:pPr>
      <w:r>
        <w:rPr>
          <w:b/>
          <w:i w:val="0"/>
          <w:color w:val="237A8B"/>
          <w:sz w:val="17"/>
          <w:spacing w:val="30"/>
        </w:rPr>
        <w:t>WHO SEES WHAT</w:t>
      </w:r>
    </w:p>
    <w:p>
      <w:pPr>
        <w:keepNext/>
        <w:spacing w:after="20"/>
      </w:pPr>
      <w:r>
        <w:rPr>
          <w:b/>
          <w:i w:val="0"/>
          <w:color w:val="0B2545"/>
          <w:sz w:val="28"/>
        </w:rPr>
        <w:t>Who can see what</w:t>
      </w:r>
    </w:p>
    <w:p>
      <w:pPr>
        <w:keepNext/>
        <w:spacing w:after="100"/>
      </w:pPr>
      <w:r>
        <w:rPr>
          <w:b w:val="0"/>
          <w:i/>
          <w:color w:val="5F7A8C"/>
          <w:sz w:val="19"/>
        </w:rPr>
        <w:t>AI must never let someone see a matter they could not open themselves.</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AI only shows each person what they are already allowed to see: shown to us, not just promised</w:t>
            </w:r>
          </w:p>
        </w:tc>
        <w:tc>
          <w:tcPr>
            <w:tcW w:type="dxa" w:w="907"/>
            <w:vAlign w:val="center"/>
          </w:tcPr>
          <w:p>
            <w:pPr>
              <w:keepNext/>
              <w:spacing w:after="0"/>
            </w:pPr>
            <w:r>
              <w:rPr>
                <w:b/>
                <w:i w:val="0"/>
                <w:color w:val="5F7A8C"/>
                <w:sz w:val="18"/>
              </w:rPr>
              <w:t>Vendor</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Tested: someone behind an ethical wall asks the AI about the walled matter, and gets nothing</w:t>
            </w:r>
          </w:p>
        </w:tc>
        <w:tc>
          <w:tcPr>
            <w:tcW w:type="dxa" w:w="907"/>
            <w:shd w:val="clear" w:color="auto" w:fill="F4F7F9"/>
            <w:vAlign w:val="center"/>
          </w:tcPr>
          <w:p>
            <w:pPr>
              <w:keepNext/>
              <w:spacing w:after="0"/>
            </w:pPr>
            <w:r>
              <w:rPr>
                <w:b/>
                <w:i w:val="0"/>
                <w:color w:val="237A8B"/>
                <w:sz w:val="18"/>
              </w:rPr>
              <w:t>Both</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When someone leaves, their AI access stops the same day</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Sign-in for AI uses our existing staff accounts, not a separate shared login</w:t>
            </w:r>
          </w:p>
        </w:tc>
        <w:tc>
          <w:tcPr>
            <w:tcW w:type="dxa" w:w="907"/>
            <w:shd w:val="clear" w:color="auto" w:fill="F4F7F9"/>
            <w:vAlign w:val="center"/>
          </w:tcPr>
          <w:p>
            <w:pPr>
              <w:spacing w:after="0"/>
            </w:pPr>
            <w:r>
              <w:rPr>
                <w:b/>
                <w:i w:val="0"/>
                <w:color w:val="5F7A8C"/>
                <w:sz w:val="18"/>
              </w:rPr>
              <w:t>Vendor</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bl>
    <w:p>
      <w:pPr>
        <w:keepNext/>
        <w:spacing w:before="280" w:after="0"/>
      </w:pPr>
      <w:r>
        <w:rPr>
          <w:b/>
          <w:i w:val="0"/>
          <w:color w:val="237A8B"/>
          <w:sz w:val="17"/>
          <w:spacing w:val="30"/>
        </w:rPr>
        <w:t>STAYING IN CONTROL</w:t>
      </w:r>
    </w:p>
    <w:p>
      <w:pPr>
        <w:keepNext/>
        <w:spacing w:after="20"/>
      </w:pPr>
      <w:r>
        <w:rPr>
          <w:b/>
          <w:i w:val="0"/>
          <w:color w:val="0B2545"/>
          <w:sz w:val="28"/>
        </w:rPr>
        <w:t>Staying in control of AI</w:t>
      </w:r>
    </w:p>
    <w:p>
      <w:pPr>
        <w:keepNext/>
        <w:spacing w:after="100"/>
      </w:pPr>
      <w:r>
        <w:rPr>
          <w:b w:val="0"/>
          <w:i/>
          <w:color w:val="5F7A8C"/>
          <w:sz w:val="19"/>
        </w:rPr>
        <w:t>Start with AI that reads; only let it change things once you trust the results.</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We can let AI read information without letting it change anything</w:t>
            </w:r>
          </w:p>
        </w:tc>
        <w:tc>
          <w:tcPr>
            <w:tcW w:type="dxa" w:w="907"/>
            <w:vAlign w:val="center"/>
          </w:tcPr>
          <w:p>
            <w:pPr>
              <w:keepNext/>
              <w:spacing w:after="0"/>
            </w:pPr>
            <w:r>
              <w:rPr>
                <w:b/>
                <w:i w:val="0"/>
                <w:color w:val="5F7A8C"/>
                <w:sz w:val="18"/>
              </w:rPr>
              <w:t>Vendor</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If AI does take an action (updating a task, posting time, sending a message), a person approves it first</w:t>
            </w:r>
          </w:p>
        </w:tc>
        <w:tc>
          <w:tcPr>
            <w:tcW w:type="dxa" w:w="907"/>
            <w:shd w:val="clear" w:color="auto" w:fill="F4F7F9"/>
            <w:vAlign w:val="center"/>
          </w:tcPr>
          <w:p>
            <w:pPr>
              <w:keepNext/>
              <w:spacing w:after="0"/>
            </w:pPr>
            <w:r>
              <w:rPr>
                <w:b/>
                <w:i w:val="0"/>
                <w:color w:val="5F7A8C"/>
                <w:sz w:val="18"/>
              </w:rPr>
              <w:t>Vendor</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A record of everything AI looked at and did, by person and date, that we can obtain at any time</w:t>
            </w:r>
          </w:p>
        </w:tc>
        <w:tc>
          <w:tcPr>
            <w:tcW w:type="dxa" w:w="907"/>
            <w:vAlign w:val="center"/>
          </w:tcPr>
          <w:p>
            <w:pPr>
              <w:spacing w:after="0"/>
            </w:pPr>
            <w:r>
              <w:rPr>
                <w:b/>
                <w:i w:val="0"/>
                <w:color w:val="5F7A8C"/>
                <w:sz w:val="18"/>
              </w:rPr>
              <w:t>Vendor</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We can use AI tools of our choosing with our data, not only the supplier’s own AI</w:t>
            </w:r>
          </w:p>
        </w:tc>
        <w:tc>
          <w:tcPr>
            <w:tcW w:type="dxa" w:w="907"/>
            <w:shd w:val="clear" w:color="auto" w:fill="F4F7F9"/>
            <w:vAlign w:val="center"/>
          </w:tcPr>
          <w:p>
            <w:pPr>
              <w:spacing w:after="0"/>
            </w:pPr>
            <w:r>
              <w:rPr>
                <w:b/>
                <w:i w:val="0"/>
                <w:color w:val="5F7A8C"/>
                <w:sz w:val="18"/>
              </w:rPr>
              <w:t>Vendor</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bl>
    <w:p>
      <w:pPr>
        <w:keepNext/>
        <w:spacing w:before="280" w:after="0"/>
      </w:pPr>
      <w:r>
        <w:rPr>
          <w:b/>
          <w:i w:val="0"/>
          <w:color w:val="237A8B"/>
          <w:sz w:val="17"/>
          <w:spacing w:val="30"/>
        </w:rPr>
        <w:t>COST AND YOUR EXIT</w:t>
      </w:r>
    </w:p>
    <w:p>
      <w:pPr>
        <w:keepNext/>
        <w:spacing w:after="20"/>
      </w:pPr>
      <w:r>
        <w:rPr>
          <w:b/>
          <w:i w:val="0"/>
          <w:color w:val="0B2545"/>
          <w:sz w:val="28"/>
        </w:rPr>
        <w:t>Cost and your exit</w:t>
      </w:r>
    </w:p>
    <w:p>
      <w:pPr>
        <w:keepNext/>
        <w:spacing w:after="100"/>
      </w:pPr>
      <w:r>
        <w:rPr>
          <w:b w:val="0"/>
          <w:i/>
          <w:color w:val="5F7A8C"/>
          <w:sz w:val="19"/>
        </w:rPr>
        <w:t>Access to your own information should not become a paid extra.</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AI features and AI access to our data are included in the price, or the full cost is in writing</w:t>
            </w:r>
          </w:p>
        </w:tc>
        <w:tc>
          <w:tcPr>
            <w:tcW w:type="dxa" w:w="907"/>
            <w:vAlign w:val="center"/>
          </w:tcPr>
          <w:p>
            <w:pPr>
              <w:keepNext/>
              <w:spacing w:after="0"/>
            </w:pPr>
            <w:r>
              <w:rPr>
                <w:b/>
                <w:i w:val="0"/>
                <w:color w:val="5F7A8C"/>
                <w:sz w:val="18"/>
              </w:rPr>
              <w:t>Vendor</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Limits on how much AI can be used are stated in the contract, with notice before they change</w:t>
            </w:r>
          </w:p>
        </w:tc>
        <w:tc>
          <w:tcPr>
            <w:tcW w:type="dxa" w:w="907"/>
            <w:shd w:val="clear" w:color="auto" w:fill="F4F7F9"/>
            <w:vAlign w:val="center"/>
          </w:tcPr>
          <w:p>
            <w:pPr>
              <w:keepNext/>
              <w:spacing w:after="0"/>
            </w:pPr>
            <w:r>
              <w:rPr>
                <w:b/>
                <w:i w:val="0"/>
                <w:color w:val="5F7A8C"/>
                <w:sz w:val="18"/>
              </w:rPr>
              <w:t>Vendor</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We can take all of our data out at any time, at no extra charge, including on exit</w:t>
            </w:r>
          </w:p>
        </w:tc>
        <w:tc>
          <w:tcPr>
            <w:tcW w:type="dxa" w:w="907"/>
            <w:vAlign w:val="center"/>
          </w:tcPr>
          <w:p>
            <w:pPr>
              <w:spacing w:after="0"/>
            </w:pPr>
            <w:r>
              <w:rPr>
                <w:b/>
                <w:i w:val="0"/>
                <w:color w:val="5F7A8C"/>
                <w:sz w:val="18"/>
              </w:rPr>
              <w:t>Vendor</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Named firms using these AI features today that we can speak to</w:t>
            </w:r>
          </w:p>
        </w:tc>
        <w:tc>
          <w:tcPr>
            <w:tcW w:type="dxa" w:w="907"/>
            <w:shd w:val="clear" w:color="auto" w:fill="F4F7F9"/>
            <w:vAlign w:val="center"/>
          </w:tcPr>
          <w:p>
            <w:pPr>
              <w:spacing w:after="0"/>
            </w:pPr>
            <w:r>
              <w:rPr>
                <w:b/>
                <w:i w:val="0"/>
                <w:color w:val="5F7A8C"/>
                <w:sz w:val="18"/>
              </w:rPr>
              <w:t>Vendor</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bl>
    <w:p>
      <w:pPr>
        <w:keepNext/>
        <w:spacing w:before="280" w:after="0"/>
      </w:pPr>
      <w:r>
        <w:rPr>
          <w:b/>
          <w:i w:val="0"/>
          <w:color w:val="237A8B"/>
          <w:sz w:val="17"/>
          <w:spacing w:val="30"/>
        </w:rPr>
        <w:t>ONE SET OF RULES</w:t>
      </w:r>
    </w:p>
    <w:p>
      <w:pPr>
        <w:keepNext/>
        <w:spacing w:after="20"/>
      </w:pPr>
      <w:r>
        <w:rPr>
          <w:b/>
          <w:i w:val="0"/>
          <w:color w:val="0B2545"/>
          <w:sz w:val="28"/>
        </w:rPr>
        <w:t>One set of rules across all your systems</w:t>
      </w:r>
    </w:p>
    <w:p>
      <w:pPr>
        <w:keepNext/>
        <w:spacing w:after="100"/>
      </w:pPr>
      <w:r>
        <w:rPr>
          <w:b w:val="0"/>
          <w:i/>
          <w:color w:val="5F7A8C"/>
          <w:sz w:val="19"/>
        </w:rPr>
        <w:t>Each system’s own AI settings cover only that system. Clients and the SRA will ask about all of them.</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We know every system in the firm that now has AI, and what each can see</w:t>
            </w:r>
          </w:p>
        </w:tc>
        <w:tc>
          <w:tcPr>
            <w:tcW w:type="dxa" w:w="907"/>
            <w:vAlign w:val="center"/>
          </w:tcPr>
          <w:p>
            <w:pPr>
              <w:keepNext/>
              <w:spacing w:after="0"/>
            </w:pPr>
            <w:r>
              <w:rPr>
                <w:b/>
                <w:i w:val="0"/>
                <w:color w:val="0B2545"/>
                <w:sz w:val="18"/>
              </w:rPr>
              <w:t>Firm</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One person is accountable for AI across the firm, reporting to the COLP or partners</w:t>
            </w:r>
          </w:p>
        </w:tc>
        <w:tc>
          <w:tcPr>
            <w:tcW w:type="dxa" w:w="907"/>
            <w:shd w:val="clear" w:color="auto" w:fill="F4F7F9"/>
            <w:vAlign w:val="center"/>
          </w:tcPr>
          <w:p>
            <w:pPr>
              <w:keepNext/>
              <w:spacing w:after="0"/>
            </w:pPr>
            <w:r>
              <w:rPr>
                <w:b/>
                <w:i w:val="0"/>
                <w:color w:val="0B2545"/>
                <w:sz w:val="18"/>
              </w:rPr>
              <w:t>Firm</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Our rules (for example "no AI on this client’s work") can be applied in this system, and in every other</w:t>
            </w:r>
          </w:p>
        </w:tc>
        <w:tc>
          <w:tcPr>
            <w:tcW w:type="dxa" w:w="907"/>
            <w:vAlign w:val="center"/>
          </w:tcPr>
          <w:p>
            <w:pPr>
              <w:spacing w:after="0"/>
            </w:pPr>
            <w:r>
              <w:rPr>
                <w:b/>
                <w:i w:val="0"/>
                <w:color w:val="237A8B"/>
                <w:sz w:val="18"/>
              </w:rPr>
              <w:t>Both</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We can see, in one place, what AI has done with any client’s information</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One way to switch AI off across the firm if something goes wrong</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bl>
    <w:p>
      <w:pPr>
        <w:keepNext/>
        <w:spacing w:before="280" w:after="0"/>
      </w:pPr>
      <w:r>
        <w:rPr>
          <w:b/>
          <w:i w:val="0"/>
          <w:color w:val="237A8B"/>
          <w:sz w:val="17"/>
          <w:spacing w:val="30"/>
        </w:rPr>
        <w:t>YOUR PEOPLE AND CLIENTS</w:t>
      </w:r>
    </w:p>
    <w:p>
      <w:pPr>
        <w:keepNext/>
        <w:spacing w:after="20"/>
      </w:pPr>
      <w:r>
        <w:rPr>
          <w:b/>
          <w:i w:val="0"/>
          <w:color w:val="0B2545"/>
          <w:sz w:val="28"/>
        </w:rPr>
        <w:t>Your people and your clients</w:t>
      </w:r>
    </w:p>
    <w:p>
      <w:pPr>
        <w:keepNext/>
        <w:spacing w:after="100"/>
      </w:pPr>
      <w:r>
        <w:rPr>
          <w:b w:val="0"/>
          <w:i/>
          <w:color w:val="5F7A8C"/>
          <w:sz w:val="19"/>
        </w:rPr>
        <w:t>Staff and clients will use AI anyway. Give them a safe route rather than a ban.</w:t>
      </w:r>
    </w:p>
    <w:tbl>
      <w:tblPr>
        <w:tblW w:type="auto" w:w="0"/>
        <w:jc w:val="center"/>
        <w:tblLook w:firstColumn="1" w:firstRow="1" w:lastColumn="0" w:lastRow="0" w:noHBand="0" w:noVBand="1" w:val="04A0"/>
        <w:tblBorders>
          <w:top w:val="single" w:sz="4" w:color="DDE5EB"/>
          <w:left w:val="single" w:sz="4" w:color="DDE5EB"/>
          <w:bottom w:val="single" w:sz="4" w:color="DDE5EB"/>
          <w:right w:val="single" w:sz="4" w:color="DDE5EB"/>
          <w:insideH w:val="single" w:sz="4" w:color="DDE5EB"/>
          <w:insideV w:val="single" w:sz="4" w:color="DDE5EB"/>
        </w:tblBorders>
        <w:tblCellMar>
          <w:top w:w="60" w:type="dxa"/>
          <w:bottom w:w="60" w:type="dxa"/>
          <w:left w:w="100" w:type="dxa"/>
          <w:right w:w="100" w:type="dxa"/>
        </w:tblCellMar>
      </w:tblPr>
      <w:tblGrid>
        <w:gridCol w:w="1973"/>
        <w:gridCol w:w="1973"/>
        <w:gridCol w:w="1973"/>
        <w:gridCol w:w="1973"/>
        <w:gridCol w:w="1973"/>
      </w:tblGrid>
      <w:tr>
        <w:trPr>
          <w:tblHeader w:val="true"/>
          <w:cantSplit w:val="true"/>
        </w:trPr>
        <w:tc>
          <w:tcPr>
            <w:tcW w:type="dxa" w:w="624"/>
            <w:shd w:val="clear" w:color="auto" w:fill="0B2545"/>
            <w:vAlign w:val="center"/>
          </w:tcPr>
          <w:p>
            <w:pPr>
              <w:keepNext/>
              <w:spacing w:after="0"/>
            </w:pPr>
            <w:r>
              <w:rPr>
                <w:b/>
                <w:i w:val="0"/>
                <w:color w:val="FFFFFF"/>
                <w:sz w:val="18"/>
              </w:rPr>
              <w:t>Done</w:t>
            </w:r>
          </w:p>
        </w:tc>
        <w:tc>
          <w:tcPr>
            <w:tcW w:type="dxa" w:w="5669"/>
            <w:shd w:val="clear" w:color="auto" w:fill="0B2545"/>
            <w:vAlign w:val="center"/>
          </w:tcPr>
          <w:p>
            <w:pPr>
              <w:keepNext/>
              <w:spacing w:after="0"/>
            </w:pPr>
            <w:r>
              <w:rPr>
                <w:b/>
                <w:i w:val="0"/>
                <w:color w:val="FFFFFF"/>
                <w:sz w:val="18"/>
              </w:rPr>
              <w:t>Item</w:t>
            </w:r>
          </w:p>
        </w:tc>
        <w:tc>
          <w:tcPr>
            <w:tcW w:type="dxa" w:w="907"/>
            <w:shd w:val="clear" w:color="auto" w:fill="0B2545"/>
            <w:vAlign w:val="center"/>
          </w:tcPr>
          <w:p>
            <w:pPr>
              <w:keepNext/>
              <w:spacing w:after="0"/>
            </w:pPr>
            <w:r>
              <w:rPr>
                <w:b/>
                <w:i w:val="0"/>
                <w:color w:val="FFFFFF"/>
                <w:sz w:val="18"/>
              </w:rPr>
              <w:t>Lead</w:t>
            </w:r>
          </w:p>
        </w:tc>
        <w:tc>
          <w:tcPr>
            <w:tcW w:type="dxa" w:w="1531"/>
            <w:shd w:val="clear" w:color="auto" w:fill="0B2545"/>
            <w:vAlign w:val="center"/>
          </w:tcPr>
          <w:p>
            <w:pPr>
              <w:keepNext/>
              <w:spacing w:after="0"/>
            </w:pPr>
            <w:r>
              <w:rPr>
                <w:b/>
                <w:i w:val="0"/>
                <w:color w:val="FFFFFF"/>
                <w:sz w:val="18"/>
              </w:rPr>
              <w:t>Owner</w:t>
            </w:r>
          </w:p>
        </w:tc>
        <w:tc>
          <w:tcPr>
            <w:tcW w:type="dxa" w:w="1134"/>
            <w:shd w:val="clear" w:color="auto" w:fill="0B2545"/>
            <w:vAlign w:val="center"/>
          </w:tcPr>
          <w:p>
            <w:pPr>
              <w:keepNext/>
              <w:spacing w:after="0"/>
            </w:pPr>
            <w:r>
              <w:rPr>
                <w:b/>
                <w:i w:val="0"/>
                <w:color w:val="FFFFFF"/>
                <w:sz w:val="18"/>
              </w:rPr>
              <w:t>Due</w:t>
            </w:r>
          </w:p>
        </w:tc>
      </w:tr>
      <w:tr>
        <w:trPr>
          <w:cantSplit w:val="true"/>
        </w:trPr>
        <w:tc>
          <w:tcPr>
            <w:tcW w:type="dxa" w:w="624"/>
            <w:vAlign w:val="center"/>
          </w:tcPr>
          <w:p>
            <w:pPr>
              <w:keepNext/>
              <w:spacing w:after="0"/>
              <w:jc w:val="center"/>
            </w:pPr>
            <w:r>
              <w:rPr>
                <w:b w:val="0"/>
                <w:i w:val="0"/>
                <w:color w:val="237A8B"/>
                <w:sz w:val="24"/>
              </w:rPr>
              <w:t>☐</w:t>
            </w:r>
          </w:p>
        </w:tc>
        <w:tc>
          <w:tcPr>
            <w:tcW w:type="dxa" w:w="5669"/>
            <w:vAlign w:val="center"/>
          </w:tcPr>
          <w:p>
            <w:pPr>
              <w:keepNext/>
              <w:spacing w:after="0"/>
            </w:pPr>
            <w:r>
              <w:rPr>
                <w:b w:val="0"/>
                <w:i w:val="0"/>
                <w:color w:val="3B4452"/>
                <w:sz w:val="19"/>
              </w:rPr>
              <w:t>Staff have an approved AI tool that is easier than pasting client work into a free chatbot</w:t>
            </w:r>
          </w:p>
        </w:tc>
        <w:tc>
          <w:tcPr>
            <w:tcW w:type="dxa" w:w="907"/>
            <w:vAlign w:val="center"/>
          </w:tcPr>
          <w:p>
            <w:pPr>
              <w:keepNext/>
              <w:spacing w:after="0"/>
            </w:pPr>
            <w:r>
              <w:rPr>
                <w:b/>
                <w:i w:val="0"/>
                <w:color w:val="0B2545"/>
                <w:sz w:val="18"/>
              </w:rPr>
              <w:t>Firm</w:t>
            </w:r>
          </w:p>
        </w:tc>
        <w:tc>
          <w:tcPr>
            <w:tcW w:type="dxa" w:w="1531"/>
            <w:vAlign w:val="center"/>
          </w:tcPr>
          <w:p>
            <w:pPr>
              <w:keepNext/>
              <w:spacing w:after="0"/>
            </w:pPr>
          </w:p>
        </w:tc>
        <w:tc>
          <w:tcPr>
            <w:tcW w:type="dxa" w:w="1134"/>
            <w:vAlign w:val="center"/>
          </w:tcPr>
          <w:p>
            <w:pPr>
              <w:keepNext/>
              <w:spacing w:after="0"/>
            </w:pPr>
          </w:p>
        </w:tc>
      </w:tr>
      <w:tr>
        <w:trPr>
          <w:cantSplit w:val="true"/>
        </w:trPr>
        <w:tc>
          <w:tcPr>
            <w:tcW w:type="dxa" w:w="624"/>
            <w:shd w:val="clear" w:color="auto" w:fill="F4F7F9"/>
            <w:vAlign w:val="center"/>
          </w:tcPr>
          <w:p>
            <w:pPr>
              <w:keepNext/>
              <w:spacing w:after="0"/>
              <w:jc w:val="center"/>
            </w:pPr>
            <w:r>
              <w:rPr>
                <w:b w:val="0"/>
                <w:i w:val="0"/>
                <w:color w:val="237A8B"/>
                <w:sz w:val="24"/>
              </w:rPr>
              <w:t>☐</w:t>
            </w:r>
          </w:p>
        </w:tc>
        <w:tc>
          <w:tcPr>
            <w:tcW w:type="dxa" w:w="5669"/>
            <w:shd w:val="clear" w:color="auto" w:fill="F4F7F9"/>
            <w:vAlign w:val="center"/>
          </w:tcPr>
          <w:p>
            <w:pPr>
              <w:keepNext/>
              <w:spacing w:after="0"/>
            </w:pPr>
            <w:r>
              <w:rPr>
                <w:b w:val="0"/>
                <w:i w:val="0"/>
                <w:color w:val="3B4452"/>
                <w:sz w:val="19"/>
              </w:rPr>
              <w:t>A short AI policy, training by role, and blocks on unapproved AI services where needed</w:t>
            </w:r>
          </w:p>
        </w:tc>
        <w:tc>
          <w:tcPr>
            <w:tcW w:type="dxa" w:w="907"/>
            <w:shd w:val="clear" w:color="auto" w:fill="F4F7F9"/>
            <w:vAlign w:val="center"/>
          </w:tcPr>
          <w:p>
            <w:pPr>
              <w:keepNext/>
              <w:spacing w:after="0"/>
            </w:pPr>
            <w:r>
              <w:rPr>
                <w:b/>
                <w:i w:val="0"/>
                <w:color w:val="0B2545"/>
                <w:sz w:val="18"/>
              </w:rPr>
              <w:t>Firm</w:t>
            </w:r>
          </w:p>
        </w:tc>
        <w:tc>
          <w:tcPr>
            <w:tcW w:type="dxa" w:w="1531"/>
            <w:shd w:val="clear" w:color="auto" w:fill="F4F7F9"/>
            <w:vAlign w:val="center"/>
          </w:tcPr>
          <w:p>
            <w:pPr>
              <w:keepNext/>
              <w:spacing w:after="0"/>
            </w:pPr>
          </w:p>
        </w:tc>
        <w:tc>
          <w:tcPr>
            <w:tcW w:type="dxa" w:w="1134"/>
            <w:shd w:val="clear" w:color="auto" w:fill="F4F7F9"/>
            <w:vAlign w:val="center"/>
          </w:tcPr>
          <w:p>
            <w:pPr>
              <w:keepNext/>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Clients’ instructions about AI are recorded on the matter and followed automatically</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r>
        <w:trPr>
          <w:cantSplit w:val="true"/>
        </w:trPr>
        <w:tc>
          <w:tcPr>
            <w:tcW w:type="dxa" w:w="624"/>
            <w:shd w:val="clear" w:color="auto" w:fill="F4F7F9"/>
            <w:vAlign w:val="center"/>
          </w:tcPr>
          <w:p>
            <w:pPr>
              <w:spacing w:after="0"/>
              <w:jc w:val="center"/>
            </w:pPr>
            <w:r>
              <w:rPr>
                <w:b w:val="0"/>
                <w:i w:val="0"/>
                <w:color w:val="237A8B"/>
                <w:sz w:val="24"/>
              </w:rPr>
              <w:t>☐</w:t>
            </w:r>
          </w:p>
        </w:tc>
        <w:tc>
          <w:tcPr>
            <w:tcW w:type="dxa" w:w="5669"/>
            <w:shd w:val="clear" w:color="auto" w:fill="F4F7F9"/>
            <w:vAlign w:val="center"/>
          </w:tcPr>
          <w:p>
            <w:pPr>
              <w:spacing w:after="0"/>
            </w:pPr>
            <w:r>
              <w:rPr>
                <w:b w:val="0"/>
                <w:i w:val="0"/>
                <w:color w:val="3B4452"/>
                <w:sz w:val="19"/>
              </w:rPr>
              <w:t>Our client care letter explains how we use AI, and how we review and price material clients prepare with AI</w:t>
            </w:r>
          </w:p>
        </w:tc>
        <w:tc>
          <w:tcPr>
            <w:tcW w:type="dxa" w:w="907"/>
            <w:shd w:val="clear" w:color="auto" w:fill="F4F7F9"/>
            <w:vAlign w:val="center"/>
          </w:tcPr>
          <w:p>
            <w:pPr>
              <w:spacing w:after="0"/>
            </w:pPr>
            <w:r>
              <w:rPr>
                <w:b/>
                <w:i w:val="0"/>
                <w:color w:val="0B2545"/>
                <w:sz w:val="18"/>
              </w:rPr>
              <w:t>Firm</w:t>
            </w:r>
          </w:p>
        </w:tc>
        <w:tc>
          <w:tcPr>
            <w:tcW w:type="dxa" w:w="1531"/>
            <w:shd w:val="clear" w:color="auto" w:fill="F4F7F9"/>
            <w:vAlign w:val="center"/>
          </w:tcPr>
          <w:p>
            <w:pPr>
              <w:spacing w:after="0"/>
            </w:pPr>
          </w:p>
        </w:tc>
        <w:tc>
          <w:tcPr>
            <w:tcW w:type="dxa" w:w="1134"/>
            <w:shd w:val="clear" w:color="auto" w:fill="F4F7F9"/>
            <w:vAlign w:val="center"/>
          </w:tcPr>
          <w:p>
            <w:pPr>
              <w:spacing w:after="0"/>
            </w:pPr>
          </w:p>
        </w:tc>
      </w:tr>
      <w:tr>
        <w:trPr>
          <w:cantSplit w:val="true"/>
        </w:trPr>
        <w:tc>
          <w:tcPr>
            <w:tcW w:type="dxa" w:w="624"/>
            <w:vAlign w:val="center"/>
          </w:tcPr>
          <w:p>
            <w:pPr>
              <w:spacing w:after="0"/>
              <w:jc w:val="center"/>
            </w:pPr>
            <w:r>
              <w:rPr>
                <w:b w:val="0"/>
                <w:i w:val="0"/>
                <w:color w:val="237A8B"/>
                <w:sz w:val="24"/>
              </w:rPr>
              <w:t>☐</w:t>
            </w:r>
          </w:p>
        </w:tc>
        <w:tc>
          <w:tcPr>
            <w:tcW w:type="dxa" w:w="5669"/>
            <w:vAlign w:val="center"/>
          </w:tcPr>
          <w:p>
            <w:pPr>
              <w:spacing w:after="0"/>
            </w:pPr>
            <w:r>
              <w:rPr>
                <w:b w:val="0"/>
                <w:i w:val="0"/>
                <w:color w:val="3B4452"/>
                <w:sz w:val="19"/>
              </w:rPr>
              <w:t>A plan for an AI incident: who investigates, what the record shows, and who tells the client and the SRA</w:t>
            </w:r>
          </w:p>
        </w:tc>
        <w:tc>
          <w:tcPr>
            <w:tcW w:type="dxa" w:w="907"/>
            <w:vAlign w:val="center"/>
          </w:tcPr>
          <w:p>
            <w:pPr>
              <w:spacing w:after="0"/>
            </w:pPr>
            <w:r>
              <w:rPr>
                <w:b/>
                <w:i w:val="0"/>
                <w:color w:val="0B2545"/>
                <w:sz w:val="18"/>
              </w:rPr>
              <w:t>Firm</w:t>
            </w:r>
          </w:p>
        </w:tc>
        <w:tc>
          <w:tcPr>
            <w:tcW w:type="dxa" w:w="1531"/>
            <w:vAlign w:val="center"/>
          </w:tcPr>
          <w:p>
            <w:pPr>
              <w:spacing w:after="0"/>
            </w:pPr>
          </w:p>
        </w:tc>
        <w:tc>
          <w:tcPr>
            <w:tcW w:type="dxa" w:w="1134"/>
            <w:vAlign w:val="center"/>
          </w:tcPr>
          <w:p>
            <w:pPr>
              <w:spacing w:after="0"/>
            </w:pPr>
          </w:p>
        </w:tc>
      </w:tr>
    </w:tbl>
    <w:p>
      <w:pPr>
        <w:spacing w:after="120"/>
      </w:pPr>
    </w:p>
    <w:tbl>
      <w:tblPr>
        <w:tblW w:type="auto" w:w="0"/>
        <w:tblLook w:firstColumn="1" w:firstRow="1" w:lastColumn="0" w:lastRow="0" w:noHBand="0" w:noVBand="1" w:val="04A0"/>
        <w:jc w:val="center"/>
        <w:tblCellMar>
          <w:top w:w="200" w:type="dxa"/>
          <w:bottom w:w="200" w:type="dxa"/>
          <w:left w:w="260" w:type="dxa"/>
          <w:right w:w="260" w:type="dxa"/>
        </w:tblCellMar>
      </w:tblPr>
      <w:tblGrid>
        <w:gridCol w:w="9866"/>
      </w:tblGrid>
      <w:tr>
        <w:trPr>
          <w:cantSplit w:val="true"/>
        </w:trPr>
        <w:tc>
          <w:tcPr>
            <w:tcW w:type="dxa" w:w="9865"/>
            <w:shd w:val="clear" w:color="auto" w:fill="0B2545"/>
          </w:tcPr>
          <w:p>
            <w:pPr>
              <w:spacing w:after="80"/>
            </w:pPr>
            <w:r>
              <w:rPr>
                <w:b/>
                <w:i w:val="0"/>
                <w:color w:val="FFFFFF"/>
                <w:sz w:val="26"/>
              </w:rPr>
              <w:t>Want an independent view before you sign?</w:t>
            </w:r>
          </w:p>
          <w:p>
            <w:pPr>
              <w:spacing w:after="120"/>
            </w:pPr>
            <w:r>
              <w:rPr>
                <w:b w:val="0"/>
                <w:i w:val="0"/>
                <w:color w:val="FFFFFF"/>
                <w:sz w:val="20"/>
              </w:rPr>
              <w:t>We help firms choose systems independently, ask suppliers the questions that protect client data, and put AI governance in place that the firm owns. Truly independent, with no vendor ties.</w:t>
            </w:r>
          </w:p>
          <w:p>
            <w:pPr>
              <w:spacing w:after="0"/>
            </w:pPr>
            <w:r>
              <w:rPr>
                <w:b/>
                <w:i w:val="0"/>
                <w:color w:val="6CC3D3"/>
                <w:sz w:val="21"/>
              </w:rPr>
              <w:t>advice@pclt.co.uk</w:t>
            </w:r>
            <w:r>
              <w:rPr>
                <w:b w:val="0"/>
                <w:i w:val="0"/>
                <w:color w:val="6CC3D3"/>
                <w:sz w:val="21"/>
              </w:rPr>
              <w:t xml:space="preserve">   |   </w:t>
            </w:r>
            <w:r>
              <w:rPr>
                <w:b/>
                <w:i w:val="0"/>
                <w:color w:val="6CC3D3"/>
                <w:sz w:val="21"/>
              </w:rPr>
              <w:t>pclt.co.uk</w:t>
            </w:r>
          </w:p>
        </w:tc>
      </w:tr>
    </w:tbl>
    <w:p>
      <w:pPr>
        <w:spacing w:before="160"/>
      </w:pPr>
      <w:r>
        <w:rPr>
          <w:b w:val="0"/>
          <w:i w:val="0"/>
          <w:color w:val="5F7A8C"/>
          <w:sz w:val="16"/>
        </w:rPr>
        <w:t>From the insight “Changing your practice management system? Choose your AI gatekeeper with the same care” at pclt.co.uk/insights/choose-your-ai-gatekeeper.html. The technical versions of these questions are requirements AI-05 to AI-09 in our free requirements builder, for your IT team or adviser. General guidance only, not legal advice; check the SRA’s current guidance on AI.</w:t>
      </w:r>
    </w:p>
    <w:sectPr w:rsidR="00FC693F" w:rsidRPr="0006063C" w:rsidSect="00034616">
      <w:headerReference w:type="first" r:id="rId9"/>
      <w:headerReference w:type="default" r:id="rId10"/>
      <w:footerReference w:type="first" r:id="rId11"/>
      <w:footerReference w:type="default" r:id="rId12"/>
      <w:pgSz w:w="11906" w:h="16838"/>
      <w:pgMar w:top="1134" w:right="1020" w:bottom="1020" w:left="1020" w:header="0"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2A8FA3"/>
      </w:pBdr>
      <w:tabs>
        <w:tab w:pos="9866" w:val="right"/>
      </w:tabs>
    </w:pPr>
    <w:r>
      <w:rPr>
        <w:b/>
        <w:i w:val="0"/>
        <w:color w:val="0B2545"/>
        <w:sz w:val="16"/>
      </w:rPr>
      <w:t>PC Legal Technology</w:t>
    </w:r>
    <w:r>
      <w:rPr>
        <w:b w:val="0"/>
        <w:i w:val="0"/>
        <w:color w:val="5F7A8C"/>
        <w:sz w:val="16"/>
      </w:rPr>
      <w:t xml:space="preserve">  |  Independent legal technology consultancy  |  advice@pclt.co.uk  |  pclt.co.uk</w:t>
      <w:tab/>
      <w:t xml:space="preserve">Page </w:t>
    </w:r>
    <w:r>
      <w:rPr>
        <w:color w:val="5F7A8C"/>
        <w:sz w:val="16"/>
      </w:rPr>
      <w:fldChar w:fldCharType="begin"/>
    </w:r>
    <w:r>
      <w:rPr>
        <w:color w:val="5F7A8C"/>
        <w:sz w:val="16"/>
      </w:rPr>
      <w:instrText xml:space="preserve"> PAGE </w:instrText>
    </w:r>
    <w:r>
      <w:rPr>
        <w:color w:val="5F7A8C"/>
        <w:sz w:val="16"/>
      </w:rPr>
      <w:fldChar w:fldCharType="separate"/>
    </w:r>
    <w:r>
      <w:rPr>
        <w:color w:val="5F7A8C"/>
        <w:sz w:val="16"/>
      </w:rPr>
      <w:t>1</w:t>
    </w:r>
    <w:r>
      <w:rPr>
        <w:color w:val="5F7A8C"/>
        <w:sz w:val="16"/>
      </w:rPr>
      <w:fldChar w:fldCharType="end"/>
    </w:r>
    <w:r>
      <w:rPr>
        <w:b w:val="0"/>
        <w:i w:val="0"/>
        <w:color w:val="5F7A8C"/>
        <w:sz w:val="16"/>
      </w:rPr>
      <w:t xml:space="preserve"> of </w:t>
    </w:r>
    <w:r>
      <w:rPr>
        <w:color w:val="5F7A8C"/>
        <w:sz w:val="16"/>
      </w:rPr>
      <w:fldChar w:fldCharType="begin"/>
    </w:r>
    <w:r>
      <w:rPr>
        <w:color w:val="5F7A8C"/>
        <w:sz w:val="16"/>
      </w:rPr>
      <w:instrText xml:space="preserve"> NUMPAGES </w:instrText>
    </w:r>
    <w:r>
      <w:rPr>
        <w:color w:val="5F7A8C"/>
        <w:sz w:val="16"/>
      </w:rPr>
      <w:fldChar w:fldCharType="separate"/>
    </w:r>
    <w:r>
      <w:rPr>
        <w:color w:val="5F7A8C"/>
        <w:sz w:val="16"/>
      </w:rPr>
      <w:t>1</w:t>
    </w:r>
    <w:r>
      <w:rPr>
        <w:color w:val="5F7A8C"/>
        <w:sz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2A8FA3"/>
      </w:pBdr>
      <w:tabs>
        <w:tab w:pos="9866" w:val="right"/>
      </w:tabs>
    </w:pPr>
    <w:r>
      <w:rPr>
        <w:b/>
        <w:i w:val="0"/>
        <w:color w:val="0B2545"/>
        <w:sz w:val="16"/>
      </w:rPr>
      <w:t>PC Legal Technology</w:t>
    </w:r>
    <w:r>
      <w:rPr>
        <w:b w:val="0"/>
        <w:i w:val="0"/>
        <w:color w:val="5F7A8C"/>
        <w:sz w:val="16"/>
      </w:rPr>
      <w:t xml:space="preserve">  |  Independent legal technology consultancy  |  advice@pclt.co.uk  |  pclt.co.uk</w:t>
      <w:tab/>
      <w:t xml:space="preserve">Page </w:t>
    </w:r>
    <w:r>
      <w:rPr>
        <w:color w:val="5F7A8C"/>
        <w:sz w:val="16"/>
      </w:rPr>
      <w:fldChar w:fldCharType="begin"/>
    </w:r>
    <w:r>
      <w:rPr>
        <w:color w:val="5F7A8C"/>
        <w:sz w:val="16"/>
      </w:rPr>
      <w:instrText xml:space="preserve"> PAGE </w:instrText>
    </w:r>
    <w:r>
      <w:rPr>
        <w:color w:val="5F7A8C"/>
        <w:sz w:val="16"/>
      </w:rPr>
      <w:fldChar w:fldCharType="separate"/>
    </w:r>
    <w:r>
      <w:rPr>
        <w:color w:val="5F7A8C"/>
        <w:sz w:val="16"/>
      </w:rPr>
      <w:t>1</w:t>
    </w:r>
    <w:r>
      <w:rPr>
        <w:color w:val="5F7A8C"/>
        <w:sz w:val="16"/>
      </w:rPr>
      <w:fldChar w:fldCharType="end"/>
    </w:r>
    <w:r>
      <w:rPr>
        <w:b w:val="0"/>
        <w:i w:val="0"/>
        <w:color w:val="5F7A8C"/>
        <w:sz w:val="16"/>
      </w:rPr>
      <w:t xml:space="preserve"> of </w:t>
    </w:r>
    <w:r>
      <w:rPr>
        <w:color w:val="5F7A8C"/>
        <w:sz w:val="16"/>
      </w:rPr>
      <w:fldChar w:fldCharType="begin"/>
    </w:r>
    <w:r>
      <w:rPr>
        <w:color w:val="5F7A8C"/>
        <w:sz w:val="16"/>
      </w:rPr>
      <w:instrText xml:space="preserve"> NUMPAGES </w:instrText>
    </w:r>
    <w:r>
      <w:rPr>
        <w:color w:val="5F7A8C"/>
        <w:sz w:val="16"/>
      </w:rPr>
      <w:fldChar w:fldCharType="separate"/>
    </w:r>
    <w:r>
      <w:rPr>
        <w:color w:val="5F7A8C"/>
        <w:sz w:val="16"/>
      </w:rPr>
      <w:t>1</w:t>
    </w:r>
    <w:r>
      <w:rPr>
        <w:color w:val="5F7A8C"/>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020" w:right="-1020"/>
    </w:pPr>
    <w:r>
      <w:drawing>
        <wp:inline xmlns:a="http://schemas.openxmlformats.org/drawingml/2006/main" xmlns:pic="http://schemas.openxmlformats.org/drawingml/2006/picture">
          <wp:extent cx="7560310" cy="1006009"/>
          <wp:docPr id="1" name="Picture 1"/>
          <wp:cNvGraphicFramePr>
            <a:graphicFrameLocks noChangeAspect="1"/>
          </wp:cNvGraphicFramePr>
          <a:graphic>
            <a:graphicData uri="http://schemas.openxmlformats.org/drawingml/2006/picture">
              <pic:pic>
                <pic:nvPicPr>
                  <pic:cNvPr id="0" name="doc-header-large.png"/>
                  <pic:cNvPicPr/>
                </pic:nvPicPr>
                <pic:blipFill>
                  <a:blip r:embed="rId1"/>
                  <a:stretch>
                    <a:fillRect/>
                  </a:stretch>
                </pic:blipFill>
                <pic:spPr>
                  <a:xfrm>
                    <a:off x="0" y="0"/>
                    <a:ext cx="7560310" cy="1006009"/>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ind w:left="-1020" w:right="-1020"/>
    </w:pPr>
    <w:r>
      <w:drawing>
        <wp:inline xmlns:a="http://schemas.openxmlformats.org/drawingml/2006/main" xmlns:pic="http://schemas.openxmlformats.org/drawingml/2006/picture">
          <wp:extent cx="7560310" cy="457277"/>
          <wp:docPr id="1" name="Picture 1"/>
          <wp:cNvGraphicFramePr>
            <a:graphicFrameLocks noChangeAspect="1"/>
          </wp:cNvGraphicFramePr>
          <a:graphic>
            <a:graphicData uri="http://schemas.openxmlformats.org/drawingml/2006/picture">
              <pic:pic>
                <pic:nvPicPr>
                  <pic:cNvPr id="0" name="doc-header-slim.png"/>
                  <pic:cNvPicPr/>
                </pic:nvPicPr>
                <pic:blipFill>
                  <a:blip r:embed="rId1"/>
                  <a:stretch>
                    <a:fillRect/>
                  </a:stretch>
                </pic:blipFill>
                <pic:spPr>
                  <a:xfrm>
                    <a:off x="0" y="0"/>
                    <a:ext cx="7560310" cy="457277"/>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olor w:val="3B4452"/>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and your client data: questions before you choose a system</dc:title>
  <dc:subject/>
  <dc:creator>PC Legal Technology</dc:creator>
  <cp:keywords/>
  <dc:description>generated by python-docx</dc:description>
  <cp:lastModifiedBy/>
  <cp:revision>1</cp:revision>
  <dcterms:created xsi:type="dcterms:W3CDTF">2013-12-23T23:15:00Z</dcterms:created>
  <dcterms:modified xsi:type="dcterms:W3CDTF">2013-12-23T23:15:00Z</dcterms:modified>
  <cp:category/>
</cp:coreProperties>
</file>